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FB9794" w14:textId="5EECC9D9" w:rsidR="00207867" w:rsidRPr="00AB118B" w:rsidRDefault="00D668C4" w:rsidP="00D668C4">
      <w:pPr>
        <w:pStyle w:val="2"/>
        <w:spacing w:before="100" w:after="100" w:line="240" w:lineRule="auto"/>
        <w:rPr>
          <w:sz w:val="21"/>
          <w:szCs w:val="21"/>
          <w:u w:val="thick" w:color="C00000"/>
        </w:rPr>
      </w:pPr>
      <w:r>
        <w:rPr>
          <w:rFonts w:ascii="Microsoft YaHei Light" w:eastAsia="Microsoft YaHei Light" w:hAnsi="Microsoft YaHei Light" w:hint="eastAsia"/>
          <w:color w:val="C00000"/>
          <w:u w:val="thick" w:color="C00000"/>
        </w:rPr>
        <w:t>兴</w:t>
      </w:r>
      <w:r w:rsidR="008E6A6D" w:rsidRPr="00AB118B">
        <w:rPr>
          <w:rFonts w:ascii="Microsoft YaHei Light" w:eastAsia="Microsoft YaHei Light" w:hAnsi="Microsoft YaHei Light" w:hint="eastAsia"/>
          <w:color w:val="C00000"/>
          <w:u w:val="thick" w:color="C00000"/>
        </w:rPr>
        <w:t>合基金投</w:t>
      </w:r>
      <w:r w:rsidR="00663F9E" w:rsidRPr="00AB118B">
        <w:rPr>
          <w:rFonts w:ascii="Microsoft YaHei Light" w:eastAsia="Microsoft YaHei Light" w:hAnsi="Microsoft YaHei Light" w:hint="eastAsia"/>
          <w:color w:val="C00000"/>
          <w:u w:val="thick" w:color="C00000"/>
        </w:rPr>
        <w:t>研周报</w:t>
      </w:r>
      <w:r w:rsidR="00B33BB9">
        <w:rPr>
          <w:rFonts w:ascii="Microsoft YaHei Light" w:eastAsia="Microsoft YaHei Light" w:hAnsi="Microsoft YaHei Light"/>
          <w:color w:val="C00000"/>
          <w:u w:val="thick" w:color="C00000"/>
        </w:rPr>
        <w:t xml:space="preserve">   </w:t>
      </w:r>
      <w:r w:rsidR="007E1A31">
        <w:rPr>
          <w:rFonts w:ascii="Microsoft YaHei Light" w:eastAsia="Microsoft YaHei Light" w:hAnsi="Microsoft YaHei Light"/>
          <w:color w:val="C00000"/>
          <w:u w:val="thick" w:color="C00000"/>
        </w:rPr>
        <w:t xml:space="preserve">     </w:t>
      </w:r>
      <w:r w:rsidR="00B33BB9">
        <w:rPr>
          <w:rFonts w:ascii="Microsoft YaHei Light" w:eastAsia="Microsoft YaHei Light" w:hAnsi="Microsoft YaHei Light" w:hint="eastAsia"/>
          <w:color w:val="C00000"/>
          <w:u w:val="thick" w:color="C00000"/>
        </w:rPr>
        <w:t xml:space="preserve"> </w:t>
      </w:r>
      <w:r w:rsidR="00B33BB9">
        <w:rPr>
          <w:rFonts w:ascii="Microsoft YaHei Light" w:eastAsia="Microsoft YaHei Light" w:hAnsi="Microsoft YaHei Light"/>
          <w:color w:val="C00000"/>
          <w:u w:val="thick" w:color="C00000"/>
        </w:rPr>
        <w:t xml:space="preserve">              </w:t>
      </w:r>
      <w:r w:rsidR="00663F9E" w:rsidRPr="00AB118B">
        <w:rPr>
          <w:rFonts w:hint="eastAsia"/>
          <w:sz w:val="21"/>
          <w:szCs w:val="21"/>
          <w:u w:val="thick" w:color="C00000"/>
        </w:rPr>
        <w:t>2</w:t>
      </w:r>
      <w:r w:rsidR="00663F9E" w:rsidRPr="00AB118B">
        <w:rPr>
          <w:sz w:val="21"/>
          <w:szCs w:val="21"/>
          <w:u w:val="thick" w:color="C00000"/>
        </w:rPr>
        <w:t>02</w:t>
      </w:r>
      <w:r w:rsidR="007124C7">
        <w:rPr>
          <w:sz w:val="21"/>
          <w:szCs w:val="21"/>
          <w:u w:val="thick" w:color="C00000"/>
        </w:rPr>
        <w:t>3.</w:t>
      </w:r>
      <w:r w:rsidR="00A76FD5">
        <w:rPr>
          <w:sz w:val="21"/>
          <w:szCs w:val="21"/>
          <w:u w:val="thick" w:color="C00000"/>
        </w:rPr>
        <w:t>1</w:t>
      </w:r>
      <w:r w:rsidR="00E45A27">
        <w:rPr>
          <w:sz w:val="21"/>
          <w:szCs w:val="21"/>
          <w:u w:val="thick" w:color="C00000"/>
        </w:rPr>
        <w:t>1.</w:t>
      </w:r>
      <w:r w:rsidR="00B062C0">
        <w:rPr>
          <w:sz w:val="21"/>
          <w:szCs w:val="21"/>
          <w:u w:val="thick" w:color="C00000"/>
        </w:rPr>
        <w:t>2</w:t>
      </w:r>
      <w:r w:rsidR="00EC3C34">
        <w:rPr>
          <w:sz w:val="21"/>
          <w:szCs w:val="21"/>
          <w:u w:val="thick" w:color="C00000"/>
        </w:rPr>
        <w:t>7</w:t>
      </w:r>
      <w:r w:rsidR="00663F9E" w:rsidRPr="00AB118B">
        <w:rPr>
          <w:sz w:val="21"/>
          <w:szCs w:val="21"/>
          <w:u w:val="thick" w:color="C00000"/>
        </w:rPr>
        <w:t>-202</w:t>
      </w:r>
      <w:r w:rsidR="007124C7">
        <w:rPr>
          <w:sz w:val="21"/>
          <w:szCs w:val="21"/>
          <w:u w:val="thick" w:color="C00000"/>
        </w:rPr>
        <w:t>3</w:t>
      </w:r>
      <w:r w:rsidR="00F43762">
        <w:rPr>
          <w:sz w:val="21"/>
          <w:szCs w:val="21"/>
          <w:u w:val="thick" w:color="C00000"/>
        </w:rPr>
        <w:t>.</w:t>
      </w:r>
      <w:r w:rsidR="00A76FD5">
        <w:rPr>
          <w:sz w:val="21"/>
          <w:szCs w:val="21"/>
          <w:u w:val="thick" w:color="C00000"/>
        </w:rPr>
        <w:t>1</w:t>
      </w:r>
      <w:r w:rsidR="008E5659">
        <w:rPr>
          <w:sz w:val="21"/>
          <w:szCs w:val="21"/>
          <w:u w:val="thick" w:color="C00000"/>
        </w:rPr>
        <w:t xml:space="preserve">2.1 </w:t>
      </w:r>
    </w:p>
    <w:p w14:paraId="77D42EE5" w14:textId="4BBCCD7F" w:rsidR="003B3115" w:rsidRPr="003B3115" w:rsidRDefault="00B33BB9" w:rsidP="00BC73D7">
      <w:pPr>
        <w:pStyle w:val="2"/>
        <w:spacing w:before="100" w:after="100" w:line="240" w:lineRule="auto"/>
        <w:rPr>
          <w:sz w:val="21"/>
          <w:szCs w:val="21"/>
          <w:u w:val="thick" w:color="C00000"/>
        </w:rPr>
      </w:pPr>
      <w:r>
        <w:rPr>
          <w:rFonts w:hint="eastAsia"/>
          <w:sz w:val="21"/>
          <w:szCs w:val="21"/>
          <w:u w:val="thick" w:color="C00000"/>
        </w:rPr>
        <w:t xml:space="preserve"> </w:t>
      </w:r>
      <w:r>
        <w:rPr>
          <w:sz w:val="21"/>
          <w:szCs w:val="21"/>
          <w:u w:val="thick" w:color="C00000"/>
        </w:rPr>
        <w:t xml:space="preserve">                                                              </w:t>
      </w:r>
      <w:r>
        <w:rPr>
          <w:rFonts w:hint="eastAsia"/>
          <w:sz w:val="21"/>
          <w:szCs w:val="21"/>
          <w:u w:val="thick" w:color="C00000"/>
        </w:rPr>
        <w:t>兴</w:t>
      </w:r>
      <w:r w:rsidR="008537AB">
        <w:rPr>
          <w:rFonts w:hint="eastAsia"/>
          <w:sz w:val="21"/>
          <w:szCs w:val="21"/>
          <w:u w:val="thick" w:color="C00000"/>
        </w:rPr>
        <w:t>合</w:t>
      </w:r>
      <w:r w:rsidR="0073395E" w:rsidRPr="00AB118B">
        <w:rPr>
          <w:rFonts w:hint="eastAsia"/>
          <w:sz w:val="21"/>
          <w:szCs w:val="21"/>
          <w:u w:val="thick" w:color="C00000"/>
        </w:rPr>
        <w:t>基金投研</w:t>
      </w:r>
      <w:bookmarkStart w:id="0" w:name="_Toc87274123"/>
      <w:r w:rsidR="000E7E31">
        <w:rPr>
          <w:rFonts w:hint="eastAsia"/>
          <w:sz w:val="21"/>
          <w:szCs w:val="21"/>
          <w:u w:val="thick" w:color="C00000"/>
        </w:rPr>
        <w:t>团队</w:t>
      </w:r>
    </w:p>
    <w:p w14:paraId="6AF5DBC9" w14:textId="4154A368" w:rsidR="001531A0" w:rsidRPr="0024726E" w:rsidRDefault="00AB118B" w:rsidP="00D8015E">
      <w:pPr>
        <w:spacing w:beforeLines="50" w:before="156" w:afterLines="50" w:after="156"/>
        <w:ind w:right="839"/>
      </w:pPr>
      <w:r>
        <w:rPr>
          <w:rFonts w:hint="eastAsia"/>
          <w:b/>
          <w:bCs/>
          <w:sz w:val="32"/>
          <w:szCs w:val="32"/>
        </w:rPr>
        <w:t>一</w:t>
      </w:r>
      <w:r w:rsidR="00DF4341" w:rsidRPr="0073395E">
        <w:rPr>
          <w:rFonts w:hint="eastAsia"/>
          <w:b/>
          <w:bCs/>
          <w:sz w:val="32"/>
          <w:szCs w:val="32"/>
        </w:rPr>
        <w:t>、</w:t>
      </w:r>
      <w:r w:rsidR="0084413A" w:rsidRPr="0073395E">
        <w:rPr>
          <w:rFonts w:hint="eastAsia"/>
          <w:b/>
          <w:bCs/>
          <w:sz w:val="32"/>
          <w:szCs w:val="32"/>
        </w:rPr>
        <w:t>本周</w:t>
      </w:r>
      <w:r w:rsidR="001531A0" w:rsidRPr="0073395E">
        <w:rPr>
          <w:rFonts w:hint="eastAsia"/>
          <w:b/>
          <w:bCs/>
          <w:sz w:val="32"/>
          <w:szCs w:val="32"/>
        </w:rPr>
        <w:t>行情回顾</w:t>
      </w:r>
      <w:bookmarkEnd w:id="0"/>
    </w:p>
    <w:p w14:paraId="6A5DAA98" w14:textId="72DB8212" w:rsidR="008E5659" w:rsidRDefault="008E6A6D" w:rsidP="008E5659">
      <w:pPr>
        <w:ind w:firstLineChars="200" w:firstLine="420"/>
      </w:pPr>
      <w:r w:rsidRPr="008E6A6D">
        <w:rPr>
          <w:rFonts w:hint="eastAsia"/>
          <w:b/>
          <w:bCs/>
          <w:color w:val="FF0000"/>
        </w:rPr>
        <w:t>行情方面</w:t>
      </w:r>
      <w:r w:rsidR="00AC5783">
        <w:rPr>
          <w:rFonts w:hint="eastAsia"/>
          <w:b/>
          <w:bCs/>
          <w:color w:val="FF0000"/>
        </w:rPr>
        <w:t>，</w:t>
      </w:r>
      <w:r w:rsidR="008E5659">
        <w:t>市场整体继续调整，科创50涨0.3%、中证1000涨0.2%、红利涨-0.1%、全A涨-0.6%、创业板涨-0.6%、上证50涨-1.6% 北证50涨-6.7%。调整了一周的中证1000再次上涨。</w:t>
      </w:r>
    </w:p>
    <w:p w14:paraId="26666741" w14:textId="77777777" w:rsidR="008E5659" w:rsidRDefault="008E5659" w:rsidP="008E5659">
      <w:pPr>
        <w:ind w:firstLineChars="200" w:firstLine="420"/>
      </w:pPr>
      <w:r>
        <w:t>本周领涨前五名的中信行业有煤炭2.8%、通信1.8%、计算机1.8%、军工1.3%、电子1.2%，煤炭连续两周涨幅靠前，而电子、通信、计算机、军工上涨跌幅靠前。本周跌幅前五名的中信行业有地产-4.9%、建材-3.3%、电信-2.3%、银行-2.1%、家电-2%，地产上周涨幅靠前。主题和板块方面，本周领涨的有光模块6.8%、血制品5.3%、AIGC4.8%、GPU4.8%、煤炭开采4.7%、K12 4.6%、网游3.7%、中文语料3.2%。本周领跌的有地产-5.3%、城中村-4.5%、航运-4.2%、盐湖提锂-3.9%、减肥药-3.8%、锂电正极-3.3%、保险-3.1%、动力电池-2.9%</w:t>
      </w:r>
    </w:p>
    <w:p w14:paraId="1AD6FD49" w14:textId="419400E1" w:rsidR="00907FFC" w:rsidRDefault="008E5659" w:rsidP="008E5659">
      <w:pPr>
        <w:ind w:firstLineChars="200" w:firstLine="420"/>
      </w:pPr>
      <w:r>
        <w:t>本周五陆股通北上资金净流入16亿元，上周为净流出32亿元，结束连续三周出现净流出。本周成交4.1万亿元，较上周4.5万亿元显著缩减。</w:t>
      </w:r>
    </w:p>
    <w:p w14:paraId="59F2DB74" w14:textId="7D65CECF" w:rsidR="007624D8" w:rsidRPr="007624D8" w:rsidRDefault="00FA51C5" w:rsidP="007624D8">
      <w:pPr>
        <w:ind w:firstLineChars="200" w:firstLine="420"/>
        <w:rPr>
          <w:rFonts w:eastAsiaTheme="minorHAnsi"/>
          <w:szCs w:val="21"/>
        </w:rPr>
      </w:pPr>
      <w:r w:rsidRPr="00FA51C5">
        <w:rPr>
          <w:b/>
          <w:bCs/>
          <w:color w:val="FF0000"/>
        </w:rPr>
        <w:t>宏观方面，</w:t>
      </w:r>
      <w:bookmarkStart w:id="1" w:name="_Toc87274124"/>
      <w:r w:rsidR="007624D8" w:rsidRPr="007624D8">
        <w:rPr>
          <w:rFonts w:eastAsiaTheme="minorHAnsi"/>
          <w:szCs w:val="21"/>
        </w:rPr>
        <w:t>11月伴随美债利率大幅下行，海外权益资产多数走强，标普500与纳斯达克指数分别上涨8.9%与10.7%，日经225上涨8.5%，欧洲Stoxx600上涨6.4%</w:t>
      </w:r>
      <w:r w:rsidR="007624D8">
        <w:rPr>
          <w:rFonts w:eastAsiaTheme="minorHAnsi" w:hint="eastAsia"/>
          <w:szCs w:val="21"/>
        </w:rPr>
        <w:t>。</w:t>
      </w:r>
    </w:p>
    <w:p w14:paraId="16075710" w14:textId="6E99D239" w:rsidR="00731521" w:rsidRDefault="007624D8" w:rsidP="007624D8">
      <w:pPr>
        <w:ind w:firstLineChars="200" w:firstLine="420"/>
        <w:rPr>
          <w:rFonts w:eastAsiaTheme="minorHAnsi"/>
          <w:szCs w:val="21"/>
        </w:rPr>
      </w:pPr>
      <w:r w:rsidRPr="007624D8">
        <w:rPr>
          <w:rFonts w:eastAsiaTheme="minorHAnsi"/>
          <w:szCs w:val="21"/>
        </w:rPr>
        <w:t>美元指数下行，人民币升值更多来自空头平仓，并未带来显著的北向资金流入，截至28日北向合计月净流出52.1亿，A股整体维持震荡，北交所11月下旬吸收了市场大量流动性，北证50本月上涨30%</w:t>
      </w:r>
      <w:r>
        <w:rPr>
          <w:rFonts w:eastAsiaTheme="minorHAnsi" w:hint="eastAsia"/>
          <w:szCs w:val="21"/>
        </w:rPr>
        <w:t>。</w:t>
      </w:r>
      <w:r w:rsidRPr="007624D8">
        <w:rPr>
          <w:rFonts w:eastAsiaTheme="minorHAnsi"/>
          <w:szCs w:val="21"/>
        </w:rPr>
        <w:t>债市先扬后抑，中债综合财富指数上涨0.4%</w:t>
      </w:r>
      <w:r>
        <w:rPr>
          <w:rFonts w:eastAsiaTheme="minorHAnsi" w:hint="eastAsia"/>
          <w:szCs w:val="21"/>
        </w:rPr>
        <w:t>。</w:t>
      </w:r>
      <w:r w:rsidRPr="007624D8">
        <w:rPr>
          <w:rFonts w:eastAsiaTheme="minorHAnsi"/>
          <w:szCs w:val="21"/>
        </w:rPr>
        <w:t>原油11月上旬大幅跳水后宽幅震荡，累计下跌6.7%，金价中旬起企稳，上涨2.65%，比特币涨幅超10%</w:t>
      </w:r>
      <w:r>
        <w:rPr>
          <w:rFonts w:eastAsiaTheme="minorHAnsi" w:hint="eastAsia"/>
          <w:szCs w:val="21"/>
        </w:rPr>
        <w:t>。</w:t>
      </w:r>
    </w:p>
    <w:p w14:paraId="1E22D7FC" w14:textId="50674C69" w:rsidR="007624D8" w:rsidRDefault="007624D8" w:rsidP="007624D8">
      <w:pPr>
        <w:ind w:firstLineChars="200" w:firstLine="420"/>
        <w:rPr>
          <w:rFonts w:eastAsiaTheme="minorHAnsi"/>
          <w:szCs w:val="21"/>
        </w:rPr>
      </w:pPr>
      <w:r w:rsidRPr="007624D8">
        <w:rPr>
          <w:rFonts w:eastAsiaTheme="minorHAnsi"/>
          <w:szCs w:val="21"/>
        </w:rPr>
        <w:t>10月规模以上工业增加值同比增长4.6%，较9月回升0.1%，分行业看，化学原料及化学制品制造业、黑色与有色金属冶炼及压延加工业、电气机械及器材制造业、汽车制造业的增速居前，医药制造业、通用设备与专业设备制造业、电力、热力生产和供应业、非金属矿物制品业的增速落后</w:t>
      </w:r>
      <w:r>
        <w:rPr>
          <w:rFonts w:eastAsiaTheme="minorHAnsi" w:hint="eastAsia"/>
          <w:szCs w:val="21"/>
        </w:rPr>
        <w:t>。</w:t>
      </w:r>
    </w:p>
    <w:p w14:paraId="1EB12C28" w14:textId="15A8FF24" w:rsidR="007624D8" w:rsidRPr="007624D8" w:rsidRDefault="007624D8" w:rsidP="007624D8">
      <w:pPr>
        <w:ind w:firstLineChars="200" w:firstLine="420"/>
        <w:rPr>
          <w:rFonts w:eastAsiaTheme="minorHAnsi"/>
          <w:szCs w:val="21"/>
        </w:rPr>
      </w:pPr>
      <w:r w:rsidRPr="007624D8">
        <w:rPr>
          <w:rFonts w:eastAsiaTheme="minorHAnsi"/>
          <w:szCs w:val="21"/>
        </w:rPr>
        <w:t>10月出口当月同比增速-6.4，较上月同比跌幅扩大0.2，低于持续修复的预期。分国别看，美国与东盟同比跌幅收窄，俄罗斯增速小幅下行，其他地区跌幅扩大；品类看，汽车(包括底盘)、船舶、手机、成品油等增速较高，稀土、肥料、陶瓷、自动数据处理设备等同比回落幅度较大</w:t>
      </w:r>
      <w:r>
        <w:rPr>
          <w:rFonts w:eastAsiaTheme="minorHAnsi" w:hint="eastAsia"/>
          <w:szCs w:val="21"/>
        </w:rPr>
        <w:t>。</w:t>
      </w:r>
    </w:p>
    <w:p w14:paraId="25EB45B1" w14:textId="08613E8B" w:rsidR="007624D8" w:rsidRPr="000A34FB" w:rsidRDefault="007624D8" w:rsidP="007624D8">
      <w:pPr>
        <w:ind w:firstLineChars="200" w:firstLine="420"/>
        <w:rPr>
          <w:rFonts w:eastAsiaTheme="minorHAnsi"/>
          <w:szCs w:val="21"/>
        </w:rPr>
      </w:pPr>
      <w:r w:rsidRPr="007624D8">
        <w:rPr>
          <w:rFonts w:eastAsiaTheme="minorHAnsi"/>
          <w:szCs w:val="21"/>
        </w:rPr>
        <w:t>从韩国、越南、中国台湾等出口导向型经济体近期的出口增速变化看，全球贸易有所回暖，BDI指数9月起持续上升，10月下旬有所回落，11月起再次快速上升，中国出口集装箱运价指数自10月底边际回升，但幅度较小</w:t>
      </w:r>
      <w:r>
        <w:rPr>
          <w:rFonts w:eastAsiaTheme="minorHAnsi" w:hint="eastAsia"/>
          <w:szCs w:val="21"/>
        </w:rPr>
        <w:t>。</w:t>
      </w:r>
    </w:p>
    <w:p w14:paraId="4ECF578B" w14:textId="276DB970" w:rsidR="00291A65" w:rsidRPr="001E701E" w:rsidRDefault="007053CF" w:rsidP="003E0F27">
      <w:pPr>
        <w:ind w:firstLineChars="200" w:firstLine="420"/>
        <w:rPr>
          <w:color w:val="000000" w:themeColor="text1"/>
        </w:rPr>
      </w:pPr>
      <w:r w:rsidRPr="007053CF">
        <w:rPr>
          <w:b/>
          <w:bCs/>
          <w:color w:val="FF0000"/>
        </w:rPr>
        <w:t>债券市场方面，</w:t>
      </w:r>
      <w:r w:rsidR="00B6714D" w:rsidRPr="00B6714D">
        <w:rPr>
          <w:color w:val="000000" w:themeColor="text1"/>
        </w:rPr>
        <w:t>上周在11月PMI延续回落、月末资金面偏紧等因素的影响下，长债利率有所回落， 1年、3年、5年和10年国债分别变动1.22BP、-1.86BP、-2.96BP和-4.28BP至2.3439%、2.4725%、2.5665%和2.6625%；1年、3年、5年和10年国开债分别变动2.07BP、-0.54BP、0.21BP和-0.29BP至2.501%、2.5724%、2.6718%和2.7677%。跨月之后资金面转松，银行间市场质押式回购隔夜、7天加权利率分别变动-22.39BP、-83.01BP至1.7116%、2.1051%；银行间市场存款类机构质押式回购隔夜、7天加权利率分别变动-22.97BP、-38.39BP至1.6061%、1.7966%。公开市场操作方面，上周央行开展21360亿元7天期逆回购操作，上周共有21670亿元7天期逆回购到期，因此上周实现净回笼310亿元。信用方面，安融信用将贵州省盘州市红腾开发投资有限公司长期主体信用等级维持在AA,评级展望调整为负面。</w:t>
      </w:r>
    </w:p>
    <w:p w14:paraId="53D8F82C" w14:textId="38E6B1C0" w:rsidR="001F7541" w:rsidRPr="00CE44AA" w:rsidRDefault="00A54B58" w:rsidP="00CE44AA">
      <w:pPr>
        <w:pStyle w:val="3"/>
        <w:spacing w:beforeLines="50" w:before="156" w:afterLines="50" w:after="156" w:line="415" w:lineRule="auto"/>
      </w:pPr>
      <w:r w:rsidRPr="00CE44AA">
        <w:rPr>
          <w:rFonts w:hint="eastAsia"/>
        </w:rPr>
        <w:lastRenderedPageBreak/>
        <w:t>二</w:t>
      </w:r>
      <w:r w:rsidRPr="00CE44AA">
        <w:t>、行业动态</w:t>
      </w:r>
      <w:r w:rsidRPr="00CE44AA">
        <w:rPr>
          <w:rFonts w:hint="eastAsia"/>
        </w:rPr>
        <w:t>跟踪</w:t>
      </w:r>
      <w:bookmarkEnd w:id="1"/>
    </w:p>
    <w:p w14:paraId="59DF81D9" w14:textId="2B5593B6" w:rsidR="00130DBD" w:rsidRPr="00130DBD" w:rsidRDefault="00856B9E" w:rsidP="00130DBD">
      <w:pPr>
        <w:ind w:firstLineChars="200" w:firstLine="420"/>
        <w:rPr>
          <w:rFonts w:eastAsiaTheme="minorHAnsi" w:cs="宋体"/>
          <w:szCs w:val="21"/>
        </w:rPr>
      </w:pPr>
      <w:r w:rsidRPr="00F163F7">
        <w:rPr>
          <w:rFonts w:eastAsiaTheme="minorHAnsi" w:cs="宋体" w:hint="eastAsia"/>
          <w:b/>
          <w:bCs/>
          <w:color w:val="FF0000"/>
          <w:szCs w:val="21"/>
        </w:rPr>
        <w:t>大</w:t>
      </w:r>
      <w:r w:rsidR="00BE06EE" w:rsidRPr="00F163F7">
        <w:rPr>
          <w:rFonts w:eastAsiaTheme="minorHAnsi" w:cs="宋体" w:hint="eastAsia"/>
          <w:b/>
          <w:bCs/>
          <w:color w:val="FF0000"/>
          <w:szCs w:val="21"/>
        </w:rPr>
        <w:t>消费行业方面，</w:t>
      </w:r>
      <w:r w:rsidR="006F0E84" w:rsidRPr="006F0E84">
        <w:rPr>
          <w:rFonts w:eastAsiaTheme="minorHAnsi" w:cs="宋体"/>
          <w:szCs w:val="21"/>
        </w:rPr>
        <w:t>本</w:t>
      </w:r>
      <w:r w:rsidR="00130DBD" w:rsidRPr="00130DBD">
        <w:rPr>
          <w:rFonts w:eastAsiaTheme="minorHAnsi" w:cs="宋体"/>
          <w:szCs w:val="21"/>
        </w:rPr>
        <w:t>周中信股票指数食品饮料板块下跌1.7%，家电板块下跌2.03%，消费者服务板块上涨1.09%，分列中信本周板块指数的第22、25、6名。</w:t>
      </w:r>
    </w:p>
    <w:p w14:paraId="6E8534ED" w14:textId="77777777" w:rsidR="00130DBD" w:rsidRPr="00130DBD" w:rsidRDefault="00130DBD" w:rsidP="00130DBD">
      <w:pPr>
        <w:ind w:firstLineChars="200" w:firstLine="420"/>
        <w:rPr>
          <w:rFonts w:eastAsiaTheme="minorHAnsi" w:cs="宋体"/>
          <w:szCs w:val="21"/>
        </w:rPr>
      </w:pPr>
      <w:r w:rsidRPr="00130DBD">
        <w:rPr>
          <w:rFonts w:eastAsiaTheme="minorHAnsi" w:cs="宋体"/>
          <w:szCs w:val="21"/>
        </w:rPr>
        <w:t>食品饮料板块：本周食品饮料板块下跌1.7%，板块上涨排名前三的公司为惠发食品上涨61%，有友食品上涨14.8%，海欣食品上涨14.1%，本周食品饮料板块啤酒板块跌1.9%，白酒板块跌2.7%，饮料板块跌0.19%，食品板块涨1.7%，板块本周预制菜板块表现较好，市场高低切消费，预制菜属于消费中成长板块。后续板块上继续推荐关注竞争格局好的消费白马，以及偏成长多预制菜板块。</w:t>
      </w:r>
    </w:p>
    <w:p w14:paraId="074C52CD" w14:textId="77777777" w:rsidR="00130DBD" w:rsidRPr="00130DBD" w:rsidRDefault="00130DBD" w:rsidP="00130DBD">
      <w:pPr>
        <w:ind w:firstLineChars="200" w:firstLine="420"/>
        <w:rPr>
          <w:rFonts w:eastAsiaTheme="minorHAnsi" w:cs="宋体"/>
          <w:szCs w:val="21"/>
        </w:rPr>
      </w:pPr>
      <w:r w:rsidRPr="00130DBD">
        <w:rPr>
          <w:rFonts w:eastAsiaTheme="minorHAnsi" w:cs="宋体"/>
          <w:szCs w:val="21"/>
        </w:rPr>
        <w:t>家电板块：本周家电下跌2.03%，板块上涨排名前三的公司为四川九洲上涨12.3%，禾盛新材上涨9%，立达信上涨6.9%。二级行业中白电-3.2%/厨大电-2.6%/小家电-1.9%/零部件+0.5%/黑电-0.1%。本周家电板块调整较多，幅度大于同期的沪深300，从细分子板块来看，白电调整最多，其次为厨大电板块。数据显示，11月百强地产企业实现销售金额4285 亿元，同比下降30.6%，降幅较上月扩大2.9 个百分点，环比下降3.4%。基于持续较弱的地产销售数据，市场重新担忧地产对于后周期相关板块的影响。后续家电板块关注出口链条中自主品牌或代工边际改善的投资机会。</w:t>
      </w:r>
    </w:p>
    <w:p w14:paraId="65DF53C3" w14:textId="02620E25" w:rsidR="006F0E84" w:rsidRDefault="00130DBD" w:rsidP="00130DBD">
      <w:pPr>
        <w:ind w:firstLineChars="200" w:firstLine="420"/>
        <w:rPr>
          <w:rFonts w:eastAsiaTheme="minorHAnsi" w:cs="宋体"/>
          <w:szCs w:val="21"/>
        </w:rPr>
      </w:pPr>
      <w:r w:rsidRPr="00130DBD">
        <w:rPr>
          <w:rFonts w:eastAsiaTheme="minorHAnsi" w:cs="宋体"/>
          <w:szCs w:val="21"/>
        </w:rPr>
        <w:t>消费者服务板块：本周消费者服务板块上涨1.09%，板块上涨排名前三的公司为学大教育上涨30.4%，大连圣亚上涨21.8%，米奥会展上涨13%。本周板块出行和教育都有所表现，教育板块涨幅较大，主要与美股好未来和新东方业绩超预期相关，K12教育经过这两年的供给侧改革，供给端减少的较多，但需求并没有消失，在政策规范化后，龙头公司有供给端出清的红利。后续继续看好教育板块。</w:t>
      </w:r>
    </w:p>
    <w:p w14:paraId="581D1213" w14:textId="77777777" w:rsidR="00130DBD" w:rsidRPr="00130DBD" w:rsidRDefault="00130DBD" w:rsidP="00130DBD">
      <w:pPr>
        <w:ind w:firstLineChars="200" w:firstLine="420"/>
        <w:rPr>
          <w:rFonts w:eastAsiaTheme="minorHAnsi" w:cs="宋体"/>
          <w:szCs w:val="21"/>
        </w:rPr>
      </w:pPr>
      <w:r w:rsidRPr="00130DBD">
        <w:rPr>
          <w:rFonts w:eastAsiaTheme="minorHAnsi" w:cs="宋体"/>
          <w:szCs w:val="21"/>
        </w:rPr>
        <w:t>【消费数据】火锅高频数据恢复度回暖。截至11.27，代表火锅品牌7日移动平均同店销售额恢复至22年、21年同期的310%、110%，环比上周恢复度继续提升。</w:t>
      </w:r>
    </w:p>
    <w:p w14:paraId="06C55B71" w14:textId="6E4B4030" w:rsidR="00130DBD" w:rsidRPr="00B80E54" w:rsidRDefault="00130DBD" w:rsidP="00130DBD">
      <w:pPr>
        <w:ind w:firstLineChars="200" w:firstLine="420"/>
        <w:rPr>
          <w:rFonts w:eastAsiaTheme="minorHAnsi" w:cs="宋体"/>
          <w:szCs w:val="21"/>
        </w:rPr>
      </w:pPr>
      <w:r w:rsidRPr="00130DBD">
        <w:rPr>
          <w:rFonts w:eastAsiaTheme="minorHAnsi" w:cs="宋体"/>
          <w:szCs w:val="21"/>
        </w:rPr>
        <w:t>酒旅：上市公司主要布局的经济型至中高档酒店，根据STR，11.19-11.25RevPAR较19年恢复度为105%（前值 105%），拆分看恢复度OCC 94%、ADR 112% (前值94%、112%），RevPAR恢复度周度环比持平。</w:t>
      </w:r>
    </w:p>
    <w:p w14:paraId="125A9D7C" w14:textId="2D2BEEC2" w:rsidR="00212B22" w:rsidRDefault="004F16F6" w:rsidP="00212B22">
      <w:pPr>
        <w:widowControl/>
        <w:ind w:firstLineChars="200" w:firstLine="420"/>
      </w:pPr>
      <w:r w:rsidRPr="001408FD">
        <w:rPr>
          <w:rFonts w:eastAsiaTheme="minorHAnsi" w:cs="楷体" w:hint="eastAsia"/>
          <w:b/>
          <w:bCs/>
          <w:color w:val="FF0000"/>
          <w:szCs w:val="21"/>
        </w:rPr>
        <w:t>大</w:t>
      </w:r>
      <w:r>
        <w:rPr>
          <w:rFonts w:eastAsiaTheme="minorHAnsi" w:cs="楷体" w:hint="eastAsia"/>
          <w:b/>
          <w:bCs/>
          <w:color w:val="FF0000"/>
          <w:szCs w:val="21"/>
        </w:rPr>
        <w:t>健康</w:t>
      </w:r>
      <w:r w:rsidRPr="001408FD">
        <w:rPr>
          <w:rFonts w:eastAsiaTheme="minorHAnsi" w:cs="楷体" w:hint="eastAsia"/>
          <w:b/>
          <w:bCs/>
          <w:color w:val="FF0000"/>
          <w:szCs w:val="21"/>
        </w:rPr>
        <w:t>行业方面，</w:t>
      </w:r>
      <w:r w:rsidR="00212B22" w:rsidRPr="00212B22">
        <w:t>本周表现：中信医药指数0.45%，涨跌幅列全行业第 9，跑赢创业板指数， 跑赢沪深 300 指数。</w:t>
      </w:r>
      <w:r w:rsidR="00212B22">
        <w:t>市场震荡向下，医药震荡向上。医药表现好的细分：血制品、生物类似物国际化，和支原体肺炎&amp;流感等流行病。</w:t>
      </w:r>
    </w:p>
    <w:p w14:paraId="39585E56" w14:textId="15CCDA06" w:rsidR="00212B22" w:rsidRDefault="00212B22" w:rsidP="00212B22">
      <w:pPr>
        <w:widowControl/>
        <w:ind w:firstLineChars="200" w:firstLine="420"/>
      </w:pPr>
      <w:r>
        <w:t>市场风格发生转化。血制品很多标的因为有整合预期驱动，结合流感等病原体爆发影响，表现不错。未来增量方面，生物类似物国际化演绎不错。国企资产整合效率提升逻辑部分个股表现不错。感染主体，随着温度降低及感染复杂化，市场选择反复博弈，后续大概率还有继续演绎的可能性。当下医药就是向下风险不大，向上缺乏大主线，热度高无合力方向，反复演绎</w:t>
      </w:r>
      <w:r>
        <w:rPr>
          <w:rFonts w:hint="eastAsia"/>
        </w:rPr>
        <w:t>。</w:t>
      </w:r>
    </w:p>
    <w:p w14:paraId="2A5F3864" w14:textId="74EBD164" w:rsidR="00212B22" w:rsidRDefault="00212B22" w:rsidP="00212B22">
      <w:pPr>
        <w:widowControl/>
        <w:ind w:firstLineChars="200" w:firstLine="420"/>
      </w:pPr>
      <w:r>
        <w:t>11月27日，国家医保局发布2023年1-10月基本医疗保险和生育保险主要指标，基本医疗保险基金（含生育保险）总收入26,187.73亿元，支出22,531.36亿元。其中，职工医保收入18,504.19亿元，支出14,157.03亿元；城乡居民医保收入7,683.55亿元，支出8,374.33亿元。</w:t>
      </w:r>
    </w:p>
    <w:p w14:paraId="220315E4" w14:textId="75A9B149" w:rsidR="00212B22" w:rsidRDefault="00212B22" w:rsidP="00212B22">
      <w:pPr>
        <w:widowControl/>
        <w:ind w:firstLineChars="200" w:firstLine="420"/>
      </w:pPr>
      <w:r>
        <w:t>11月30日，第四批国家耗材集采产生拟中选结果，中选产品平均降价70%左右，其中人工晶体类耗材平均降价60%，预计每年可节约费用39亿元，运动医学类耗材平均降价74%，预计每年可节约费用67亿元。</w:t>
      </w:r>
    </w:p>
    <w:p w14:paraId="33646954" w14:textId="378C492A" w:rsidR="007B56A9" w:rsidRDefault="00212B22" w:rsidP="00212B22">
      <w:pPr>
        <w:widowControl/>
        <w:ind w:firstLineChars="200" w:firstLine="420"/>
      </w:pPr>
      <w:r>
        <w:t>11月30日，艾伯维(Abbvie) 宣布溢价95%以101亿美元现金收购ADC药物上市公司lmmunoGen及其旗舰肿瘤疗法ELAHERE®（mirvetuximab soravtansine-gynx）。该疗法是同类首创抗体药物偶联物(ADC)，已获批用于治疗铂耐药卵巢癌(PROC)。</w:t>
      </w:r>
    </w:p>
    <w:p w14:paraId="0A27DC86" w14:textId="6F367462" w:rsidR="006A49E3" w:rsidRPr="006A49E3" w:rsidRDefault="00856B9E" w:rsidP="006A49E3">
      <w:pPr>
        <w:ind w:firstLineChars="200" w:firstLine="420"/>
        <w:rPr>
          <w:rFonts w:eastAsiaTheme="minorHAnsi" w:cs="楷体"/>
          <w:szCs w:val="21"/>
        </w:rPr>
      </w:pPr>
      <w:r w:rsidRPr="001408FD">
        <w:rPr>
          <w:rFonts w:eastAsiaTheme="minorHAnsi" w:cs="楷体" w:hint="eastAsia"/>
          <w:b/>
          <w:bCs/>
          <w:color w:val="FF0000"/>
          <w:szCs w:val="21"/>
        </w:rPr>
        <w:lastRenderedPageBreak/>
        <w:t>大</w:t>
      </w:r>
      <w:r w:rsidR="00C368D3" w:rsidRPr="001408FD">
        <w:rPr>
          <w:rFonts w:eastAsiaTheme="minorHAnsi" w:cs="楷体" w:hint="eastAsia"/>
          <w:b/>
          <w:bCs/>
          <w:color w:val="FF0000"/>
          <w:szCs w:val="21"/>
        </w:rPr>
        <w:t>科技</w:t>
      </w:r>
      <w:r w:rsidR="00DD16A8" w:rsidRPr="001408FD">
        <w:rPr>
          <w:rFonts w:eastAsiaTheme="minorHAnsi" w:cs="楷体" w:hint="eastAsia"/>
          <w:b/>
          <w:bCs/>
          <w:color w:val="FF0000"/>
          <w:szCs w:val="21"/>
        </w:rPr>
        <w:t>行业方面，</w:t>
      </w:r>
      <w:r w:rsidR="00731521" w:rsidRPr="00731521">
        <w:rPr>
          <w:rFonts w:eastAsiaTheme="minorHAnsi" w:cs="楷体"/>
          <w:szCs w:val="21"/>
        </w:rPr>
        <w:t>本</w:t>
      </w:r>
      <w:r w:rsidR="006A49E3" w:rsidRPr="006A49E3">
        <w:rPr>
          <w:rFonts w:eastAsiaTheme="minorHAnsi" w:cs="楷体"/>
          <w:szCs w:val="21"/>
        </w:rPr>
        <w:t>周电子（中信一级）上涨1.24%，消费电子指数（中信二级）上涨0.92%，半导体指数（中信二级）上涨1.96%。费城半导体指数上涨-0.26%，台湾半导体指数上涨1.02%。</w:t>
      </w:r>
    </w:p>
    <w:p w14:paraId="5FDBC343" w14:textId="2012692C" w:rsidR="006A49E3" w:rsidRPr="006A49E3" w:rsidRDefault="006A49E3" w:rsidP="006A49E3">
      <w:pPr>
        <w:ind w:firstLineChars="200" w:firstLine="420"/>
        <w:rPr>
          <w:rFonts w:eastAsiaTheme="minorHAnsi" w:cs="楷体"/>
          <w:szCs w:val="21"/>
        </w:rPr>
      </w:pPr>
      <w:r w:rsidRPr="006A49E3">
        <w:rPr>
          <w:rFonts w:eastAsiaTheme="minorHAnsi" w:cs="楷体"/>
          <w:szCs w:val="21"/>
        </w:rPr>
        <w:t>长鑫存储推出LPDDR5系列产品，12GB LPDDR5 芯片在小米、传音等机型完成验证。三星、美光、海力士分别在2019/2020/2021年量产LPDDR5产品，本次发布是国产LPDDR5的首次突破。产业链环节包括设备及零部件、存储封测、存储芯片与模组。</w:t>
      </w:r>
    </w:p>
    <w:p w14:paraId="0CDEB7F6" w14:textId="6FB71CEF" w:rsidR="006A49E3" w:rsidRPr="006A49E3" w:rsidRDefault="006A49E3" w:rsidP="006A49E3">
      <w:pPr>
        <w:ind w:firstLineChars="200" w:firstLine="420"/>
        <w:rPr>
          <w:rFonts w:eastAsiaTheme="minorHAnsi" w:cs="楷体"/>
          <w:szCs w:val="21"/>
        </w:rPr>
      </w:pPr>
      <w:r w:rsidRPr="006A49E3">
        <w:rPr>
          <w:rFonts w:eastAsiaTheme="minorHAnsi" w:cs="楷体"/>
          <w:szCs w:val="21"/>
        </w:rPr>
        <w:t>特斯拉Cybertruck举行交付仪式，三款车型分别定价6/8/10万美元，续航250-340英里，低配版25年交付，高配两款24年交付，Cybertruck在坚硬、性能、牵引等方面表现突出。该车采用特斯拉最新技术，包括48V低压系统、一体化压铸，搭载最新HW4.0和FSD等。</w:t>
      </w:r>
    </w:p>
    <w:p w14:paraId="63A98ED3" w14:textId="6864B0B1" w:rsidR="00D646EC" w:rsidRPr="00D646EC" w:rsidRDefault="006A49E3" w:rsidP="006A49E3">
      <w:pPr>
        <w:ind w:firstLineChars="200" w:firstLine="420"/>
        <w:rPr>
          <w:rFonts w:eastAsiaTheme="minorHAnsi" w:cs="楷体"/>
          <w:szCs w:val="21"/>
        </w:rPr>
      </w:pPr>
      <w:r w:rsidRPr="006A49E3">
        <w:rPr>
          <w:rFonts w:eastAsiaTheme="minorHAnsi" w:cs="楷体"/>
          <w:szCs w:val="21"/>
        </w:rPr>
        <w:t>本周美国AI初创公司Pika labs正式发布首款文生视频产品Pika 1.0，强大功能受到市场关注，AIGC文生视频正在加快技术迭代和应用落地，文生视频的高计算难度和高数据要求，带来上游AI算力需求或将继续高增。成都出台卫星互联网产业发展规划，广州等地继续出台数据要素政策，产业持续发生变化。</w:t>
      </w:r>
    </w:p>
    <w:p w14:paraId="1EACADC1" w14:textId="37B04F23" w:rsidR="005460DC" w:rsidRDefault="00856B9E" w:rsidP="001E6C4F">
      <w:pPr>
        <w:ind w:firstLineChars="200" w:firstLine="420"/>
        <w:rPr>
          <w:rFonts w:eastAsiaTheme="minorHAnsi"/>
          <w:szCs w:val="21"/>
        </w:rPr>
      </w:pPr>
      <w:r w:rsidRPr="00F163F7">
        <w:rPr>
          <w:rFonts w:eastAsiaTheme="minorHAnsi" w:cs="楷体" w:hint="eastAsia"/>
          <w:b/>
          <w:bCs/>
          <w:color w:val="FF0000"/>
          <w:szCs w:val="21"/>
        </w:rPr>
        <w:t>大</w:t>
      </w:r>
      <w:r w:rsidR="00C368D3" w:rsidRPr="00F163F7">
        <w:rPr>
          <w:rFonts w:eastAsiaTheme="minorHAnsi" w:cs="楷体" w:hint="eastAsia"/>
          <w:b/>
          <w:bCs/>
          <w:color w:val="FF0000"/>
          <w:szCs w:val="21"/>
        </w:rPr>
        <w:t>制造</w:t>
      </w:r>
      <w:r w:rsidR="00DD16A8" w:rsidRPr="00F163F7">
        <w:rPr>
          <w:rFonts w:eastAsiaTheme="minorHAnsi" w:cs="楷体" w:hint="eastAsia"/>
          <w:b/>
          <w:bCs/>
          <w:color w:val="FF0000"/>
          <w:szCs w:val="21"/>
        </w:rPr>
        <w:t>行业方面，</w:t>
      </w:r>
      <w:r w:rsidR="00CA3A78" w:rsidRPr="00CA3A78">
        <w:rPr>
          <w:rFonts w:eastAsiaTheme="minorHAnsi"/>
          <w:szCs w:val="21"/>
        </w:rPr>
        <w:t>本</w:t>
      </w:r>
      <w:r w:rsidR="008159D8" w:rsidRPr="008159D8">
        <w:rPr>
          <w:rFonts w:eastAsiaTheme="minorHAnsi"/>
          <w:szCs w:val="21"/>
        </w:rPr>
        <w:t>周电力设备及新能源板块（中信）指数涨幅</w:t>
      </w:r>
      <w:r w:rsidR="004B68C4">
        <w:rPr>
          <w:rFonts w:eastAsiaTheme="minorHAnsi"/>
          <w:szCs w:val="21"/>
        </w:rPr>
        <w:t>-</w:t>
      </w:r>
      <w:r w:rsidR="00CD0977">
        <w:rPr>
          <w:rFonts w:eastAsiaTheme="minorHAnsi"/>
          <w:szCs w:val="21"/>
        </w:rPr>
        <w:t>2.3</w:t>
      </w:r>
      <w:r w:rsidR="006A49E3">
        <w:rPr>
          <w:rFonts w:eastAsiaTheme="minorHAnsi"/>
          <w:szCs w:val="21"/>
        </w:rPr>
        <w:t>0</w:t>
      </w:r>
      <w:r w:rsidR="008159D8" w:rsidRPr="008159D8">
        <w:rPr>
          <w:rFonts w:eastAsiaTheme="minorHAnsi"/>
          <w:szCs w:val="21"/>
        </w:rPr>
        <w:t>%，汽车（中信）指数涨幅</w:t>
      </w:r>
      <w:r w:rsidR="00CD0977">
        <w:rPr>
          <w:rFonts w:eastAsiaTheme="minorHAnsi"/>
          <w:szCs w:val="21"/>
        </w:rPr>
        <w:t>-</w:t>
      </w:r>
      <w:r w:rsidR="006A49E3">
        <w:rPr>
          <w:rFonts w:eastAsiaTheme="minorHAnsi"/>
          <w:szCs w:val="21"/>
        </w:rPr>
        <w:t>0.93</w:t>
      </w:r>
      <w:r w:rsidR="008159D8" w:rsidRPr="008159D8">
        <w:rPr>
          <w:rFonts w:eastAsiaTheme="minorHAnsi"/>
          <w:szCs w:val="21"/>
        </w:rPr>
        <w:t>%，</w:t>
      </w:r>
      <w:r w:rsidR="008D13AA">
        <w:rPr>
          <w:rFonts w:eastAsiaTheme="minorHAnsi" w:hint="eastAsia"/>
          <w:szCs w:val="21"/>
        </w:rPr>
        <w:t>机械板块</w:t>
      </w:r>
      <w:r w:rsidR="008159D8" w:rsidRPr="008159D8">
        <w:rPr>
          <w:rFonts w:eastAsiaTheme="minorHAnsi"/>
          <w:szCs w:val="21"/>
        </w:rPr>
        <w:t>（中信）指数涨幅</w:t>
      </w:r>
      <w:r w:rsidR="006A49E3">
        <w:rPr>
          <w:rFonts w:eastAsiaTheme="minorHAnsi"/>
          <w:szCs w:val="21"/>
        </w:rPr>
        <w:t>0.21</w:t>
      </w:r>
      <w:r w:rsidR="008159D8" w:rsidRPr="008159D8">
        <w:rPr>
          <w:rFonts w:eastAsiaTheme="minorHAnsi"/>
          <w:szCs w:val="21"/>
        </w:rPr>
        <w:t>%</w:t>
      </w:r>
      <w:r w:rsidR="00B54772">
        <w:rPr>
          <w:rFonts w:eastAsiaTheme="minorHAnsi" w:hint="eastAsia"/>
          <w:szCs w:val="21"/>
        </w:rPr>
        <w:t>。</w:t>
      </w:r>
      <w:r w:rsidR="00D518C4">
        <w:rPr>
          <w:rFonts w:eastAsiaTheme="minorHAnsi" w:hint="eastAsia"/>
          <w:szCs w:val="21"/>
        </w:rPr>
        <w:t>本周</w:t>
      </w:r>
      <w:r w:rsidR="00C4542D">
        <w:rPr>
          <w:rFonts w:eastAsiaTheme="minorHAnsi" w:hint="eastAsia"/>
          <w:szCs w:val="21"/>
        </w:rPr>
        <w:t>新能源继续下探，市场担忧一直没有转向。汽车</w:t>
      </w:r>
      <w:r w:rsidR="00130DBD">
        <w:rPr>
          <w:rFonts w:eastAsiaTheme="minorHAnsi" w:hint="eastAsia"/>
          <w:szCs w:val="21"/>
        </w:rPr>
        <w:t>在长安的带领下有所表现，但是持续性并不强，随后整体回落。重卡数据后也出现了兑现的走势。机器人板块整体回调，但是幅度有限，市场仍然关注机器人、自动驾驶等新赛道。</w:t>
      </w:r>
    </w:p>
    <w:p w14:paraId="6339CAAB" w14:textId="151E3175" w:rsidR="00B33A5F" w:rsidRPr="0072470E" w:rsidRDefault="000C2E27" w:rsidP="00B33A5F">
      <w:pPr>
        <w:ind w:firstLineChars="200" w:firstLine="420"/>
        <w:rPr>
          <w:rFonts w:eastAsiaTheme="minorHAnsi"/>
          <w:szCs w:val="21"/>
        </w:rPr>
      </w:pPr>
      <w:r w:rsidRPr="00A52FF0">
        <w:rPr>
          <w:rFonts w:eastAsiaTheme="minorHAnsi" w:hint="eastAsia"/>
          <w:szCs w:val="21"/>
        </w:rPr>
        <w:t>风光储氢板块</w:t>
      </w:r>
      <w:r w:rsidR="002E0AC1" w:rsidRPr="00A52FF0">
        <w:rPr>
          <w:rFonts w:eastAsiaTheme="minorHAnsi" w:hint="eastAsia"/>
          <w:szCs w:val="21"/>
        </w:rPr>
        <w:t>：</w:t>
      </w:r>
      <w:r w:rsidR="00130DBD" w:rsidRPr="00130DBD">
        <w:rPr>
          <w:rFonts w:eastAsiaTheme="minorHAnsi"/>
          <w:szCs w:val="21"/>
        </w:rPr>
        <w:t>11月，中电建、中能建等大型绿氢项目陆续招标开工，合计制氢规模近5万吨，电解槽招标120套+。11月电解槽需求600MW+、全年出货预计翻倍增长。香橙会口径，23年1-10月国内电解槽招标需求超1433MW，11月上述项目招标600MW+，我们预计23年国内电解槽招标量2.5-3GW（500-600台），对应市场规模45亿。国内供给格局看，截至10月末电解槽中标量700MW+，其中派瑞氢能、隆基氢能、阳光电源中标规模占比30%/18%/18%，CR3进一步集中。</w:t>
      </w:r>
    </w:p>
    <w:p w14:paraId="062CDA1A" w14:textId="5A5FE7A0" w:rsidR="001E6F33" w:rsidRDefault="000B33EF" w:rsidP="00130DBD">
      <w:pPr>
        <w:ind w:firstLineChars="200" w:firstLine="420"/>
        <w:rPr>
          <w:rFonts w:eastAsiaTheme="minorHAnsi"/>
          <w:szCs w:val="21"/>
        </w:rPr>
      </w:pPr>
      <w:r w:rsidRPr="00A52FF0">
        <w:rPr>
          <w:rFonts w:eastAsiaTheme="minorHAnsi" w:hint="eastAsia"/>
          <w:szCs w:val="21"/>
        </w:rPr>
        <w:t>新能源汽车板块</w:t>
      </w:r>
      <w:r w:rsidR="00D824D2" w:rsidRPr="00A52FF0">
        <w:rPr>
          <w:rFonts w:eastAsiaTheme="minorHAnsi" w:hint="eastAsia"/>
          <w:szCs w:val="21"/>
        </w:rPr>
        <w:t>：</w:t>
      </w:r>
      <w:r w:rsidR="00130DBD" w:rsidRPr="00130DBD">
        <w:rPr>
          <w:rFonts w:eastAsiaTheme="minorHAnsi"/>
          <w:szCs w:val="21"/>
        </w:rPr>
        <w:t>11月25日长安汽车和华为签署《投资合作备忘录》，华为拟设立一家从事汽车智能系统及部件解决方案研发、设计、生产、销售和服务的公司，长安汽车拟出资获取目标公司股权，比例不超过40%。华为原则上不从事与目标公司业务范围相竞争的业务。目标公司将对现有战略合作伙伴车企及有战略价值的车企等投资者逐步开放股权，成为股权多元化的公司。</w:t>
      </w:r>
    </w:p>
    <w:p w14:paraId="2C45CF60" w14:textId="0D62B120" w:rsidR="00130DBD" w:rsidRDefault="00130DBD" w:rsidP="00130DBD">
      <w:pPr>
        <w:ind w:firstLineChars="200" w:firstLine="420"/>
        <w:rPr>
          <w:rFonts w:eastAsiaTheme="minorHAnsi"/>
          <w:szCs w:val="21"/>
        </w:rPr>
      </w:pPr>
      <w:r w:rsidRPr="00130DBD">
        <w:rPr>
          <w:rFonts w:eastAsiaTheme="minorHAnsi"/>
          <w:szCs w:val="21"/>
        </w:rPr>
        <w:t>11月28日，在智界S7及华为全场景新品发布会上，华为常务董事、终端BG CEO、智能汽车解决方案BU董事长余承东表示，华为已向赛力斯、奇瑞、江淮、北汽几个合作伙伴发出投资新公司邀请，并希望中国一汽加入。</w:t>
      </w:r>
    </w:p>
    <w:p w14:paraId="15268EE4" w14:textId="46934DDC" w:rsidR="005B7DE9" w:rsidRPr="005B7DE9" w:rsidRDefault="004168DD" w:rsidP="005B7DE9">
      <w:pPr>
        <w:ind w:firstLineChars="200" w:firstLine="420"/>
        <w:rPr>
          <w:rFonts w:eastAsiaTheme="minorHAnsi"/>
          <w:szCs w:val="21"/>
        </w:rPr>
      </w:pPr>
      <w:r w:rsidRPr="00F163F7">
        <w:rPr>
          <w:rFonts w:eastAsiaTheme="minorHAnsi" w:cs="楷体" w:hint="eastAsia"/>
          <w:b/>
          <w:bCs/>
          <w:color w:val="FF0000"/>
          <w:szCs w:val="21"/>
        </w:rPr>
        <w:t>大</w:t>
      </w:r>
      <w:r w:rsidR="00F71633">
        <w:rPr>
          <w:rFonts w:eastAsiaTheme="minorHAnsi" w:cs="楷体" w:hint="eastAsia"/>
          <w:b/>
          <w:bCs/>
          <w:color w:val="FF0000"/>
          <w:szCs w:val="21"/>
        </w:rPr>
        <w:t>金融</w:t>
      </w:r>
      <w:r w:rsidRPr="00F163F7">
        <w:rPr>
          <w:rFonts w:eastAsiaTheme="minorHAnsi" w:cs="楷体" w:hint="eastAsia"/>
          <w:b/>
          <w:bCs/>
          <w:color w:val="FF0000"/>
          <w:szCs w:val="21"/>
        </w:rPr>
        <w:t>行业方面，</w:t>
      </w:r>
      <w:bookmarkStart w:id="2" w:name="_Toc87274125"/>
      <w:r w:rsidR="005B7DE9" w:rsidRPr="005B7DE9">
        <w:rPr>
          <w:rFonts w:eastAsiaTheme="minorHAnsi"/>
          <w:szCs w:val="21"/>
        </w:rPr>
        <w:t>央行行长潘功胜表示，积极配合行业主管部门和地方政府，做好金融支持房地产市场亚稳健康发展工作，为保障性住房等“三大工程”建设提供中长期低成本资金支持，完善住房租赁金融政策体系，推动构建房地产发展新模式。</w:t>
      </w:r>
    </w:p>
    <w:p w14:paraId="4DD504BD" w14:textId="3A99A5B6" w:rsidR="005B7DE9" w:rsidRPr="005B7DE9" w:rsidRDefault="005B7DE9" w:rsidP="005B7DE9">
      <w:pPr>
        <w:ind w:firstLineChars="200" w:firstLine="420"/>
        <w:rPr>
          <w:rFonts w:eastAsiaTheme="minorHAnsi"/>
          <w:szCs w:val="21"/>
        </w:rPr>
      </w:pPr>
      <w:r w:rsidRPr="005B7DE9">
        <w:rPr>
          <w:rFonts w:eastAsiaTheme="minorHAnsi"/>
          <w:szCs w:val="21"/>
        </w:rPr>
        <w:t>美国商务部公布的数据显示，剔除波动较大的食品和能源价格后，美国10月核心个人消费支出(PCE)价格指数同比上涨3.5%，创2021年4月来最小同比涨幅。同时公布的10月实际个人消费支出环比0.2%，高于预期的0.1%，增速较上月放缓0.2个百分点。数据发布后，市场反应较为平淡。</w:t>
      </w:r>
    </w:p>
    <w:p w14:paraId="0023B0FD" w14:textId="13C65438" w:rsidR="005B7DE9" w:rsidRPr="005B7DE9" w:rsidRDefault="005B7DE9" w:rsidP="005B7DE9">
      <w:pPr>
        <w:ind w:firstLineChars="200" w:firstLine="420"/>
        <w:rPr>
          <w:rFonts w:eastAsiaTheme="minorHAnsi"/>
          <w:szCs w:val="21"/>
        </w:rPr>
      </w:pPr>
      <w:r w:rsidRPr="005B7DE9">
        <w:rPr>
          <w:rFonts w:eastAsiaTheme="minorHAnsi"/>
          <w:szCs w:val="21"/>
        </w:rPr>
        <w:t>新华保险（601336.SH）公告，公司与中国人寿寿险公司分别出资250亿元共同发起设立私募证券投资基金有限公司。</w:t>
      </w:r>
    </w:p>
    <w:p w14:paraId="786B7D78" w14:textId="3A5BCB8C" w:rsidR="00731521" w:rsidRPr="000A34FB" w:rsidRDefault="005B7DE9" w:rsidP="005B7DE9">
      <w:pPr>
        <w:ind w:firstLineChars="200" w:firstLine="420"/>
        <w:rPr>
          <w:rFonts w:eastAsiaTheme="minorHAnsi"/>
          <w:szCs w:val="21"/>
        </w:rPr>
      </w:pPr>
      <w:r w:rsidRPr="005B7DE9">
        <w:rPr>
          <w:rFonts w:eastAsiaTheme="minorHAnsi"/>
          <w:szCs w:val="21"/>
        </w:rPr>
        <w:t>2023年第48周（11/24-11/30）销售数据概览</w:t>
      </w:r>
      <w:r>
        <w:rPr>
          <w:rFonts w:eastAsiaTheme="minorHAnsi" w:hint="eastAsia"/>
          <w:szCs w:val="21"/>
        </w:rPr>
        <w:t>。</w:t>
      </w:r>
      <w:r w:rsidRPr="005B7DE9">
        <w:rPr>
          <w:rFonts w:eastAsiaTheme="minorHAnsi"/>
          <w:szCs w:val="21"/>
        </w:rPr>
        <w:t>新房方面：本周 49 城整体成交面积同比-11.1%（上周-23.6%），环比+18.9%；11月单月累计同比-18.9%（10月-11.6%），环比+0.9%；</w:t>
      </w:r>
      <w:r w:rsidRPr="005B7DE9">
        <w:rPr>
          <w:rFonts w:eastAsiaTheme="minorHAnsi"/>
          <w:szCs w:val="21"/>
        </w:rPr>
        <w:lastRenderedPageBreak/>
        <w:t>年初以来累计同比-11.0%。二手房方面：本周15城整体成交面积同比+42.4%（上周+27.1%），环比+0.7%；11月单月累计同比+25.5%（10月+28.7%），环比+18.5%；年初以来累计同比+27.9%。</w:t>
      </w:r>
    </w:p>
    <w:p w14:paraId="25D635C8" w14:textId="7B2E9B07" w:rsidR="00E95244" w:rsidRDefault="000A34FB" w:rsidP="00D8015E">
      <w:pPr>
        <w:pStyle w:val="3"/>
        <w:spacing w:beforeLines="50" w:before="156" w:afterLines="50" w:after="156" w:line="415" w:lineRule="auto"/>
      </w:pPr>
      <w:r>
        <w:rPr>
          <w:rFonts w:hint="eastAsia"/>
        </w:rPr>
        <w:t>三、兴合观点</w:t>
      </w:r>
      <w:bookmarkEnd w:id="2"/>
    </w:p>
    <w:p w14:paraId="2CC89F95" w14:textId="2AD4D27B" w:rsidR="00D34542" w:rsidRPr="00926D18" w:rsidRDefault="00BE3218" w:rsidP="00926D18">
      <w:pPr>
        <w:rPr>
          <w:b/>
          <w:bCs/>
          <w:color w:val="FF0000"/>
        </w:rPr>
      </w:pPr>
      <w:r w:rsidRPr="00DD16A8">
        <w:rPr>
          <w:rFonts w:hint="eastAsia"/>
          <w:b/>
          <w:bCs/>
          <w:color w:val="FF0000"/>
        </w:rPr>
        <w:t>公募</w:t>
      </w:r>
      <w:r w:rsidR="00EC3CA6" w:rsidRPr="00DD16A8">
        <w:rPr>
          <w:rFonts w:hint="eastAsia"/>
          <w:b/>
          <w:bCs/>
          <w:color w:val="FF0000"/>
        </w:rPr>
        <w:t>基金</w:t>
      </w:r>
      <w:r w:rsidR="00884330">
        <w:rPr>
          <w:rFonts w:hint="eastAsia"/>
          <w:b/>
          <w:bCs/>
          <w:color w:val="FF0000"/>
        </w:rPr>
        <w:t>投资部</w:t>
      </w:r>
      <w:r w:rsidR="00EC3CA6" w:rsidRPr="00DD16A8">
        <w:rPr>
          <w:rFonts w:hint="eastAsia"/>
          <w:b/>
          <w:bCs/>
          <w:color w:val="FF0000"/>
        </w:rPr>
        <w:t>孙祺</w:t>
      </w:r>
      <w:r w:rsidR="00884330">
        <w:rPr>
          <w:rFonts w:hint="eastAsia"/>
          <w:b/>
          <w:bCs/>
          <w:color w:val="FF0000"/>
        </w:rPr>
        <w:t>（权益）观点</w:t>
      </w:r>
      <w:r w:rsidR="002E7890" w:rsidRPr="00DD16A8">
        <w:rPr>
          <w:rFonts w:hint="eastAsia"/>
          <w:b/>
          <w:bCs/>
          <w:color w:val="FF0000"/>
        </w:rPr>
        <w:t>：</w:t>
      </w:r>
    </w:p>
    <w:p w14:paraId="75F55D6E" w14:textId="30182133" w:rsidR="008E5659" w:rsidRDefault="008E5659" w:rsidP="008E5659">
      <w:pPr>
        <w:ind w:firstLineChars="200" w:firstLine="420"/>
      </w:pPr>
      <w:r>
        <w:t>本周市场关注的北交所交易监管，这使得部分活跃资金回到沪深主场。人民币升值到了新高， GC001尾盘骤然飙升至一度7.7%，收6.88%，仅次于一季度末的8.5%。资金紧张的话题被热议。</w:t>
      </w:r>
    </w:p>
    <w:p w14:paraId="610E332E" w14:textId="77777777" w:rsidR="008E5659" w:rsidRDefault="008E5659" w:rsidP="008E5659">
      <w:pPr>
        <w:ind w:firstLineChars="200" w:firstLine="420"/>
      </w:pPr>
      <w:r>
        <w:t>11月制造业PMI为49.4%，回落0.1个百分点。其中，PMI生产指数为50.7%，环比回落0.2个百分点。PMI新订单指数为49.4%，环比回落0.1个百分点；新出口订单指数为46.3%，环比0.5个百分点。PMI原材料库存指数为48.0%，环比回落0.2%。建筑业活动指数为55.0%，环比上升1.5个百分点。服务业商务活动指数为49.3%，环比回落0.8个百分点。服务业PMI为49.3，年内首至50以下区间。数据再次显示经济在金九银十后，现在的铜十一，整体继续回落，而且其中有外需很大的影响。</w:t>
      </w:r>
    </w:p>
    <w:p w14:paraId="78CE4D0A" w14:textId="77777777" w:rsidR="008E5659" w:rsidRDefault="008E5659" w:rsidP="008E5659">
      <w:pPr>
        <w:ind w:firstLineChars="200" w:firstLine="420"/>
      </w:pPr>
      <w:r>
        <w:t>煤炭股高位继续上涨。因为本周平煤股份公告23-25年分红率不少于60%，山西、黑龙江等地发生事故；另一方面需求旺盛，2023年10月，四大高载能行业用电2153亿千瓦时，同比9.6%；而中国最大进口国印尼2023年煤炭产量将超过官方目标6.95亿吨，随着印尼雨季的开始，月度产量可能会下降。</w:t>
      </w:r>
    </w:p>
    <w:p w14:paraId="1D6E76F7" w14:textId="77777777" w:rsidR="008E5659" w:rsidRDefault="008E5659" w:rsidP="008E5659">
      <w:pPr>
        <w:ind w:firstLineChars="200" w:firstLine="420"/>
      </w:pPr>
      <w:r>
        <w:t>本周长安汽车与华为在签署了《投资合作备忘录》，华为将设立目标公司，业务范围包括汽车智能驾驶解决方案等，长安汽车及关联方拟出资参股例不超过40%。多家新能源汽车销量发布，符合预期。江淮与华为签订合作协议，明确了职责和分工、知识产权等。智界S7正式上市，搭载全新的DriveONE 800V碳化硅高压动力平台。Cybertruck正式交付，成线控转向第一款量产车型。</w:t>
      </w:r>
    </w:p>
    <w:p w14:paraId="31D69ECC" w14:textId="77777777" w:rsidR="008E5659" w:rsidRDefault="008E5659" w:rsidP="008E5659">
      <w:pPr>
        <w:ind w:firstLineChars="200" w:firstLine="420"/>
      </w:pPr>
      <w:r>
        <w:t>本周科技领域新闻较多，长鑫存储官网公告LPDDR5 DRAM。京东方公告将在成都投资630亿元建设一条32K/月的OLED 8.6代线，其中公司出资200亿元。特别是Pika的突然火爆。</w:t>
      </w:r>
    </w:p>
    <w:p w14:paraId="6237C67D" w14:textId="28BE7719" w:rsidR="008E5659" w:rsidRDefault="008E5659" w:rsidP="008E5659">
      <w:pPr>
        <w:ind w:firstLineChars="200" w:firstLine="420"/>
      </w:pPr>
      <w:r>
        <w:t>黑五当天美国线上销售额达98亿美元，同比7.5%，再创新纪录，但其实是大量依靠打折优惠等。拼多多业绩再次大超预期，也许全球都进入一个更追求性价比而不是消费升级的时代。茅台的零售价近期持续下跌。</w:t>
      </w:r>
    </w:p>
    <w:p w14:paraId="2200418D" w14:textId="10C6A798" w:rsidR="00926D18" w:rsidRPr="00F85BC7" w:rsidRDefault="008E5659" w:rsidP="008E5659">
      <w:pPr>
        <w:ind w:firstLineChars="200" w:firstLine="420"/>
      </w:pPr>
      <w:r>
        <w:t>近期市场震荡调整回调。主要因素是虽然有持续的政策利好，国内经济确认趋势性复苏尚需时日，此外资金面仍未见明显宽松。但结构性机会仍然存在，我们继续努力把握。</w:t>
      </w:r>
    </w:p>
    <w:p w14:paraId="29F030C6" w14:textId="14EE1DAC" w:rsidR="00B83814" w:rsidRDefault="00B83814" w:rsidP="00B83814">
      <w:pPr>
        <w:rPr>
          <w:b/>
          <w:bCs/>
          <w:color w:val="FF0000"/>
        </w:rPr>
      </w:pPr>
      <w:r w:rsidRPr="00DD16A8">
        <w:rPr>
          <w:rFonts w:hint="eastAsia"/>
          <w:b/>
          <w:bCs/>
          <w:color w:val="FF0000"/>
        </w:rPr>
        <w:t>公募基金</w:t>
      </w:r>
      <w:r>
        <w:rPr>
          <w:rFonts w:hint="eastAsia"/>
          <w:b/>
          <w:bCs/>
          <w:color w:val="FF0000"/>
        </w:rPr>
        <w:t>投资部夏小文（固收）观点</w:t>
      </w:r>
      <w:r w:rsidRPr="00DD16A8">
        <w:rPr>
          <w:rFonts w:hint="eastAsia"/>
          <w:b/>
          <w:bCs/>
          <w:color w:val="FF0000"/>
        </w:rPr>
        <w:t>：</w:t>
      </w:r>
    </w:p>
    <w:p w14:paraId="0DF51F40" w14:textId="6D460A57" w:rsidR="00E964FE" w:rsidRPr="00E964FE" w:rsidRDefault="00CC6D5E" w:rsidP="007842B6">
      <w:pPr>
        <w:ind w:firstLineChars="200" w:firstLine="420"/>
        <w:rPr>
          <w:color w:val="000000" w:themeColor="text1"/>
        </w:rPr>
      </w:pPr>
      <w:r>
        <w:rPr>
          <w:rFonts w:hint="eastAsia"/>
          <w:color w:val="000000" w:themeColor="text1"/>
        </w:rPr>
        <w:t>本周暂无观点更新。</w:t>
      </w:r>
    </w:p>
    <w:p w14:paraId="63F298DD" w14:textId="2E16615E" w:rsidR="0045670E" w:rsidRPr="00F77D63" w:rsidRDefault="0045670E" w:rsidP="0045670E">
      <w:pPr>
        <w:rPr>
          <w:color w:val="FF0000"/>
        </w:rPr>
      </w:pPr>
      <w:r>
        <w:rPr>
          <w:rFonts w:hint="eastAsia"/>
          <w:b/>
          <w:bCs/>
          <w:color w:val="FF0000"/>
        </w:rPr>
        <w:t>专户</w:t>
      </w:r>
      <w:r w:rsidRPr="00AC32CB">
        <w:rPr>
          <w:rFonts w:hint="eastAsia"/>
          <w:b/>
          <w:bCs/>
          <w:color w:val="FF0000"/>
        </w:rPr>
        <w:t>基金</w:t>
      </w:r>
      <w:r>
        <w:rPr>
          <w:rFonts w:hint="eastAsia"/>
          <w:b/>
          <w:bCs/>
          <w:color w:val="FF0000"/>
        </w:rPr>
        <w:t>投资部赵刚（权益）</w:t>
      </w:r>
      <w:r w:rsidRPr="00AC32CB">
        <w:rPr>
          <w:rFonts w:hint="eastAsia"/>
          <w:b/>
          <w:bCs/>
          <w:color w:val="FF0000"/>
        </w:rPr>
        <w:t>观点</w:t>
      </w:r>
      <w:r w:rsidRPr="00AC32CB">
        <w:rPr>
          <w:rFonts w:hint="eastAsia"/>
          <w:color w:val="FF0000"/>
        </w:rPr>
        <w:t>：</w:t>
      </w:r>
    </w:p>
    <w:p w14:paraId="5F8B22EF" w14:textId="172EFCD4" w:rsidR="00363D60" w:rsidRDefault="00363D60" w:rsidP="00363D60">
      <w:pPr>
        <w:ind w:firstLineChars="200" w:firstLine="420"/>
      </w:pPr>
      <w:r>
        <w:t>上周市场底部震荡，市场博弈加大。北交所扰乱市场后观望博弈情绪加大，资金选择高股息防御板块，煤炭进入旺季领涨，机器人、自动驾驶等热门板块投机出货回调较大。</w:t>
      </w:r>
    </w:p>
    <w:p w14:paraId="4CD33FC1" w14:textId="4C1840AD" w:rsidR="00DA7C4C" w:rsidRDefault="00363D60" w:rsidP="00363D60">
      <w:pPr>
        <w:ind w:firstLineChars="200" w:firstLine="420"/>
      </w:pPr>
      <w:r>
        <w:t>三季度后经济预期平淡，国内市场仍在磨底。美联储加息反复无常仍然存在变数，中美领导人的会见一定程度上修复中美关系，出口压力有望缓解。国内科技方面政策频出，自主可控和科技创新仍是最大的方向，后续进入最长的报告披露期真空期，题材逐渐占优。自动驾驶、机器人等政策和产业进展较多，Pika火爆带动AI应用再次吸引资本进入，预期未来随着AI算力、大模型、应用等落地，自主可控和国产替代也将同步进行，长期看科技创新仍是未来经济主要增长点。医疗反腐后续可能纠偏，行业大幅下跌后可能进入积极布局期。地产在一系列政策放松后还有待观察，对经济托底后带动消费等领域复苏也是值得期待。</w:t>
      </w:r>
    </w:p>
    <w:p w14:paraId="2957BB17" w14:textId="04F6114E" w:rsidR="00F77D63" w:rsidRPr="00F77D63" w:rsidRDefault="00165FDC" w:rsidP="00266D71">
      <w:pPr>
        <w:rPr>
          <w:color w:val="FF0000"/>
        </w:rPr>
      </w:pPr>
      <w:r>
        <w:rPr>
          <w:rFonts w:hint="eastAsia"/>
          <w:b/>
          <w:bCs/>
          <w:color w:val="FF0000"/>
        </w:rPr>
        <w:lastRenderedPageBreak/>
        <w:t>专户</w:t>
      </w:r>
      <w:r w:rsidR="002E7890" w:rsidRPr="00AC32CB">
        <w:rPr>
          <w:rFonts w:hint="eastAsia"/>
          <w:b/>
          <w:bCs/>
          <w:color w:val="FF0000"/>
        </w:rPr>
        <w:t>基金</w:t>
      </w:r>
      <w:r w:rsidR="00884330">
        <w:rPr>
          <w:rFonts w:hint="eastAsia"/>
          <w:b/>
          <w:bCs/>
          <w:color w:val="FF0000"/>
        </w:rPr>
        <w:t>投资部</w:t>
      </w:r>
      <w:r w:rsidR="002E7890" w:rsidRPr="00AC32CB">
        <w:rPr>
          <w:rFonts w:hint="eastAsia"/>
          <w:b/>
          <w:bCs/>
          <w:color w:val="FF0000"/>
        </w:rPr>
        <w:t>王凝</w:t>
      </w:r>
      <w:r w:rsidR="00884330">
        <w:rPr>
          <w:rFonts w:hint="eastAsia"/>
          <w:b/>
          <w:bCs/>
          <w:color w:val="FF0000"/>
        </w:rPr>
        <w:t>（权益）</w:t>
      </w:r>
      <w:r w:rsidR="002E7890" w:rsidRPr="00AC32CB">
        <w:rPr>
          <w:rFonts w:hint="eastAsia"/>
          <w:b/>
          <w:bCs/>
          <w:color w:val="FF0000"/>
        </w:rPr>
        <w:t>观点</w:t>
      </w:r>
      <w:r w:rsidR="002E7890" w:rsidRPr="00AC32CB">
        <w:rPr>
          <w:rFonts w:hint="eastAsia"/>
          <w:color w:val="FF0000"/>
        </w:rPr>
        <w:t>：</w:t>
      </w:r>
    </w:p>
    <w:p w14:paraId="0F9F3BF2" w14:textId="77777777" w:rsidR="00B6714D" w:rsidRDefault="00B6714D" w:rsidP="00B6714D">
      <w:pPr>
        <w:widowControl/>
        <w:ind w:firstLineChars="200" w:firstLine="420"/>
        <w:jc w:val="left"/>
      </w:pPr>
      <w:bookmarkStart w:id="3" w:name="_Hlk103608146"/>
      <w:r>
        <w:t>板块建议关注在趋势中但热度没到顶点的种业黄金，避免追高接力AI应用。</w:t>
      </w:r>
    </w:p>
    <w:p w14:paraId="29D1CB39" w14:textId="5975FE85" w:rsidR="004B68C4" w:rsidRPr="004E643A" w:rsidRDefault="00B6714D" w:rsidP="00B6714D">
      <w:pPr>
        <w:widowControl/>
        <w:ind w:firstLineChars="200" w:firstLine="420"/>
        <w:jc w:val="left"/>
      </w:pPr>
      <w:r>
        <w:t>未来一个月财经日历：中国机器人产业发展大会4-6号在芜湖举行；全球流量大会5-6号在深圳举行；中国自动驾驶年会21—22号在上海举办。</w:t>
      </w:r>
    </w:p>
    <w:bookmarkEnd w:id="3"/>
    <w:p w14:paraId="6DBADCBB" w14:textId="44A7475B" w:rsidR="00F71633" w:rsidRPr="00680EE4" w:rsidRDefault="008E728E" w:rsidP="00680EE4">
      <w:pPr>
        <w:widowControl/>
        <w:rPr>
          <w:rFonts w:asciiTheme="minorEastAsia" w:hAnsiTheme="minorEastAsia"/>
          <w:b/>
          <w:bCs/>
          <w:color w:val="FF0000"/>
          <w:szCs w:val="21"/>
        </w:rPr>
      </w:pPr>
      <w:r>
        <w:rPr>
          <w:rFonts w:asciiTheme="minorEastAsia" w:hAnsiTheme="minorEastAsia" w:hint="eastAsia"/>
          <w:b/>
          <w:bCs/>
          <w:color w:val="FF0000"/>
          <w:szCs w:val="21"/>
        </w:rPr>
        <w:t>专户基金</w:t>
      </w:r>
      <w:r w:rsidRPr="00FD5E79">
        <w:rPr>
          <w:rFonts w:asciiTheme="minorEastAsia" w:hAnsiTheme="minorEastAsia" w:hint="eastAsia"/>
          <w:b/>
          <w:bCs/>
          <w:color w:val="FF0000"/>
          <w:szCs w:val="21"/>
        </w:rPr>
        <w:t>投资</w:t>
      </w:r>
      <w:r>
        <w:rPr>
          <w:rFonts w:asciiTheme="minorEastAsia" w:hAnsiTheme="minorEastAsia" w:hint="eastAsia"/>
          <w:b/>
          <w:bCs/>
          <w:color w:val="FF0000"/>
          <w:szCs w:val="21"/>
        </w:rPr>
        <w:t>部姚飞</w:t>
      </w:r>
      <w:r>
        <w:rPr>
          <w:rFonts w:hint="eastAsia"/>
          <w:b/>
          <w:bCs/>
          <w:color w:val="FF0000"/>
        </w:rPr>
        <w:t>（权益）</w:t>
      </w:r>
      <w:r w:rsidRPr="00FD5E79">
        <w:rPr>
          <w:rFonts w:asciiTheme="minorEastAsia" w:hAnsiTheme="minorEastAsia" w:hint="eastAsia"/>
          <w:b/>
          <w:bCs/>
          <w:color w:val="FF0000"/>
          <w:szCs w:val="21"/>
        </w:rPr>
        <w:t>观点：</w:t>
      </w:r>
    </w:p>
    <w:p w14:paraId="6BB2C99B" w14:textId="5797AA48" w:rsidR="00680EE4" w:rsidRPr="004C12BA" w:rsidRDefault="00303078" w:rsidP="00DA7C4C">
      <w:pPr>
        <w:ind w:firstLine="420"/>
      </w:pPr>
      <w:r w:rsidRPr="00303078">
        <w:t>当下宏观经济数据尚未出现全面企稳，但市场流动性充裕，导致各类题材快速轮动。目前应避免被市场的概念炒作影响，自下而上进行理性的个股选择才是更重要的，优先挑选估值低、基本面扎实的个股。</w:t>
      </w:r>
    </w:p>
    <w:p w14:paraId="7B405ED1" w14:textId="49DF4113" w:rsidR="00363B94" w:rsidRDefault="00363B94" w:rsidP="00363B94">
      <w:pPr>
        <w:widowControl/>
        <w:rPr>
          <w:rFonts w:asciiTheme="minorEastAsia" w:hAnsiTheme="minorEastAsia"/>
          <w:b/>
          <w:bCs/>
          <w:color w:val="FF0000"/>
          <w:szCs w:val="21"/>
        </w:rPr>
      </w:pPr>
      <w:r>
        <w:rPr>
          <w:rFonts w:asciiTheme="minorEastAsia" w:hAnsiTheme="minorEastAsia" w:hint="eastAsia"/>
          <w:b/>
          <w:bCs/>
          <w:color w:val="FF0000"/>
          <w:szCs w:val="21"/>
        </w:rPr>
        <w:t>专户基金</w:t>
      </w:r>
      <w:r w:rsidRPr="00FD5E79">
        <w:rPr>
          <w:rFonts w:asciiTheme="minorEastAsia" w:hAnsiTheme="minorEastAsia" w:hint="eastAsia"/>
          <w:b/>
          <w:bCs/>
          <w:color w:val="FF0000"/>
          <w:szCs w:val="21"/>
        </w:rPr>
        <w:t>投资</w:t>
      </w:r>
      <w:r>
        <w:rPr>
          <w:rFonts w:asciiTheme="minorEastAsia" w:hAnsiTheme="minorEastAsia" w:hint="eastAsia"/>
          <w:b/>
          <w:bCs/>
          <w:color w:val="FF0000"/>
          <w:szCs w:val="21"/>
        </w:rPr>
        <w:t>部魏婧</w:t>
      </w:r>
      <w:r>
        <w:rPr>
          <w:rFonts w:hint="eastAsia"/>
          <w:b/>
          <w:bCs/>
          <w:color w:val="FF0000"/>
        </w:rPr>
        <w:t>（固收）</w:t>
      </w:r>
      <w:r w:rsidRPr="00FD5E79">
        <w:rPr>
          <w:rFonts w:asciiTheme="minorEastAsia" w:hAnsiTheme="minorEastAsia" w:hint="eastAsia"/>
          <w:b/>
          <w:bCs/>
          <w:color w:val="FF0000"/>
          <w:szCs w:val="21"/>
        </w:rPr>
        <w:t>观点：</w:t>
      </w:r>
    </w:p>
    <w:p w14:paraId="14D062DA" w14:textId="326A4359" w:rsidR="00CC5127" w:rsidRPr="00CC5127" w:rsidRDefault="00130DBD" w:rsidP="00CC5127">
      <w:pPr>
        <w:widowControl/>
        <w:ind w:firstLineChars="200" w:firstLine="420"/>
        <w:rPr>
          <w:rFonts w:asciiTheme="minorEastAsia" w:hAnsiTheme="minorEastAsia"/>
          <w:color w:val="000000" w:themeColor="text1"/>
          <w:szCs w:val="21"/>
        </w:rPr>
      </w:pPr>
      <w:r w:rsidRPr="00130DBD">
        <w:rPr>
          <w:rFonts w:asciiTheme="minorEastAsia" w:hAnsiTheme="minorEastAsia"/>
          <w:color w:val="000000" w:themeColor="text1"/>
          <w:szCs w:val="21"/>
        </w:rPr>
        <w:t>上周公布的PMI低于预期，市场传闻赤字率低于预期，市场偏弱。权益维持震荡观点，注意低位布局。资金面偏紧，债券仍旧缺乏大的机会。</w:t>
      </w:r>
    </w:p>
    <w:p w14:paraId="7BFB771D" w14:textId="77777777" w:rsidR="00D37C1A" w:rsidRDefault="00D37C1A">
      <w:pPr>
        <w:widowControl/>
        <w:jc w:val="left"/>
        <w:rPr>
          <w:b/>
          <w:bCs/>
          <w:sz w:val="32"/>
          <w:szCs w:val="32"/>
        </w:rPr>
      </w:pPr>
      <w:r>
        <w:br w:type="page"/>
      </w:r>
    </w:p>
    <w:p w14:paraId="3BD790D9" w14:textId="78C6C188" w:rsidR="00902407" w:rsidRDefault="00902407" w:rsidP="00527C08">
      <w:pPr>
        <w:pStyle w:val="3"/>
      </w:pPr>
      <w:r>
        <w:rPr>
          <w:rFonts w:hint="eastAsia"/>
        </w:rPr>
        <w:lastRenderedPageBreak/>
        <w:t>【风险提示】</w:t>
      </w:r>
    </w:p>
    <w:p w14:paraId="78FD8A28" w14:textId="3E1421CD" w:rsidR="0007413F" w:rsidRDefault="00902407" w:rsidP="00D74690">
      <w:pPr>
        <w:ind w:firstLineChars="200" w:firstLine="420"/>
      </w:pPr>
      <w:r>
        <w:rPr>
          <w:rFonts w:hint="eastAsia"/>
        </w:rPr>
        <w:t>市场有风险，投资需谨慎。基金管理人承诺以恪尽职守、诚实信用、谨慎勤勉的原则管理和运用基金资产，但不保证基金一定盈利，也不保证最低收益。基金管理人提醒投资者在做出投资决策前应全面了解基金的产品特性并充分考虑自身的风险承受能力，理性判断市场，投资者自行承担基金运营状况与基金净值变化引致的投资风险。投资有风险，选择须谨慎。敬请投资者于投资前认真阅读基金的基金合同、最新招募说明书、基金产品资料概要及其他法律文件。</w:t>
      </w:r>
    </w:p>
    <w:p w14:paraId="256195E8" w14:textId="4313AFA1" w:rsidR="00165FDC" w:rsidRPr="00902407" w:rsidRDefault="00165FDC" w:rsidP="00D74690">
      <w:pPr>
        <w:ind w:firstLineChars="200" w:firstLine="420"/>
      </w:pPr>
      <w:r w:rsidRPr="00165FDC">
        <w:rPr>
          <w:rFonts w:hint="eastAsia"/>
        </w:rPr>
        <w:t>本材料为客户服务材料，不构成任何投资建议或承诺，本材料并非基金宣传推介材料，亦</w:t>
      </w:r>
      <w:r w:rsidRPr="00165FDC">
        <w:t>不构成任何法律文件。若本材料转载或引用第三方报告或资料，转载内容仅代表该第三方观点，并不代表兴合基金的立场。</w:t>
      </w:r>
    </w:p>
    <w:sectPr w:rsidR="00165FDC" w:rsidRPr="00902407" w:rsidSect="00A55527">
      <w:headerReference w:type="default" r:id="rId8"/>
      <w:pgSz w:w="11906" w:h="16838"/>
      <w:pgMar w:top="1440" w:right="1800" w:bottom="1440" w:left="1800" w:header="709"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411CC" w14:textId="77777777" w:rsidR="00ED57DE" w:rsidRDefault="00ED57DE" w:rsidP="007279E9">
      <w:r>
        <w:separator/>
      </w:r>
    </w:p>
  </w:endnote>
  <w:endnote w:type="continuationSeparator" w:id="0">
    <w:p w14:paraId="7FA5FECF" w14:textId="77777777" w:rsidR="00ED57DE" w:rsidRDefault="00ED57DE" w:rsidP="007279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Microsoft YaHei Light">
    <w:altName w:val="微软雅黑"/>
    <w:charset w:val="86"/>
    <w:family w:val="swiss"/>
    <w:pitch w:val="variable"/>
    <w:sig w:usb0="80000287" w:usb1="2ACF0010" w:usb2="00000016" w:usb3="00000000" w:csb0="0004001F" w:csb1="00000000"/>
  </w:font>
  <w:font w:name="楷体">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9D1E73" w14:textId="77777777" w:rsidR="00ED57DE" w:rsidRDefault="00ED57DE" w:rsidP="007279E9">
      <w:r>
        <w:separator/>
      </w:r>
    </w:p>
  </w:footnote>
  <w:footnote w:type="continuationSeparator" w:id="0">
    <w:p w14:paraId="78F5221D" w14:textId="77777777" w:rsidR="00ED57DE" w:rsidRDefault="00ED57DE" w:rsidP="007279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BBA993" w14:textId="660830D0" w:rsidR="007279E9" w:rsidRPr="00A9705B" w:rsidRDefault="00165FDC" w:rsidP="00165FDC">
    <w:pPr>
      <w:pStyle w:val="a7"/>
      <w:ind w:left="4410" w:hangingChars="2100" w:hanging="4410"/>
    </w:pPr>
    <w:r>
      <w:rPr>
        <w:noProof/>
      </w:rPr>
      <w:drawing>
        <wp:inline distT="0" distB="0" distL="0" distR="0" wp14:anchorId="26642321" wp14:editId="69616BD6">
          <wp:extent cx="1892300" cy="393700"/>
          <wp:effectExtent l="0" t="0" r="0" b="635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rotWithShape="1">
                  <a:blip r:embed="rId1">
                    <a:extLst>
                      <a:ext uri="{28A0092B-C50C-407E-A947-70E740481C1C}">
                        <a14:useLocalDpi xmlns:a14="http://schemas.microsoft.com/office/drawing/2010/main" val="0"/>
                      </a:ext>
                    </a:extLst>
                  </a:blip>
                  <a:srcRect l="6636" t="30233" r="7386" b="37790"/>
                  <a:stretch/>
                </pic:blipFill>
                <pic:spPr bwMode="auto">
                  <a:xfrm>
                    <a:off x="0" y="0"/>
                    <a:ext cx="1892300" cy="393700"/>
                  </a:xfrm>
                  <a:prstGeom prst="rect">
                    <a:avLst/>
                  </a:prstGeom>
                  <a:ln>
                    <a:noFill/>
                  </a:ln>
                  <a:extLst>
                    <a:ext uri="{53640926-AAD7-44D8-BBD7-CCE9431645EC}">
                      <a14:shadowObscured xmlns:a14="http://schemas.microsoft.com/office/drawing/2010/main"/>
                    </a:ext>
                  </a:extLst>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C0E5807A"/>
    <w:multiLevelType w:val="singleLevel"/>
    <w:tmpl w:val="C0E5807A"/>
    <w:lvl w:ilvl="0">
      <w:start w:val="2"/>
      <w:numFmt w:val="chineseCounting"/>
      <w:suff w:val="nothing"/>
      <w:lvlText w:val="%1、"/>
      <w:lvlJc w:val="left"/>
      <w:rPr>
        <w:rFonts w:hint="eastAsia"/>
      </w:rPr>
    </w:lvl>
  </w:abstractNum>
  <w:abstractNum w:abstractNumId="1" w15:restartNumberingAfterBreak="0">
    <w:nsid w:val="F2804FE1"/>
    <w:multiLevelType w:val="singleLevel"/>
    <w:tmpl w:val="F2804FE1"/>
    <w:lvl w:ilvl="0">
      <w:start w:val="1"/>
      <w:numFmt w:val="decimal"/>
      <w:suff w:val="nothing"/>
      <w:lvlText w:val="%1、"/>
      <w:lvlJc w:val="left"/>
    </w:lvl>
  </w:abstractNum>
  <w:abstractNum w:abstractNumId="2" w15:restartNumberingAfterBreak="0">
    <w:nsid w:val="F418A83F"/>
    <w:multiLevelType w:val="singleLevel"/>
    <w:tmpl w:val="F418A83F"/>
    <w:lvl w:ilvl="0">
      <w:start w:val="3"/>
      <w:numFmt w:val="decimal"/>
      <w:suff w:val="nothing"/>
      <w:lvlText w:val="%1、"/>
      <w:lvlJc w:val="left"/>
    </w:lvl>
  </w:abstractNum>
  <w:abstractNum w:abstractNumId="3" w15:restartNumberingAfterBreak="0">
    <w:nsid w:val="298D8F47"/>
    <w:multiLevelType w:val="singleLevel"/>
    <w:tmpl w:val="298D8F47"/>
    <w:lvl w:ilvl="0">
      <w:start w:val="6"/>
      <w:numFmt w:val="decimal"/>
      <w:suff w:val="nothing"/>
      <w:lvlText w:val="（%1）"/>
      <w:lvlJc w:val="left"/>
    </w:lvl>
  </w:abstractNum>
  <w:abstractNum w:abstractNumId="4" w15:restartNumberingAfterBreak="0">
    <w:nsid w:val="3CFDE263"/>
    <w:multiLevelType w:val="singleLevel"/>
    <w:tmpl w:val="3CFDE263"/>
    <w:lvl w:ilvl="0">
      <w:start w:val="1"/>
      <w:numFmt w:val="decimal"/>
      <w:suff w:val="nothing"/>
      <w:lvlText w:val="（%1）"/>
      <w:lvlJc w:val="left"/>
    </w:lvl>
  </w:abstractNum>
  <w:abstractNum w:abstractNumId="5" w15:restartNumberingAfterBreak="0">
    <w:nsid w:val="445117DD"/>
    <w:multiLevelType w:val="hybridMultilevel"/>
    <w:tmpl w:val="7374C396"/>
    <w:lvl w:ilvl="0" w:tplc="C6A0920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4C65070A"/>
    <w:multiLevelType w:val="hybridMultilevel"/>
    <w:tmpl w:val="03D0832C"/>
    <w:lvl w:ilvl="0" w:tplc="95009F70">
      <w:start w:val="1"/>
      <w:numFmt w:val="decimal"/>
      <w:lvlText w:val="%1、"/>
      <w:lvlJc w:val="left"/>
      <w:pPr>
        <w:ind w:left="504" w:hanging="50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9FDBC1B"/>
    <w:multiLevelType w:val="singleLevel"/>
    <w:tmpl w:val="69FDBC1B"/>
    <w:lvl w:ilvl="0">
      <w:start w:val="1"/>
      <w:numFmt w:val="decimal"/>
      <w:suff w:val="nothing"/>
      <w:lvlText w:val="（%1）"/>
      <w:lvlJc w:val="left"/>
    </w:lvl>
  </w:abstractNum>
  <w:abstractNum w:abstractNumId="8" w15:restartNumberingAfterBreak="0">
    <w:nsid w:val="7B9829E3"/>
    <w:multiLevelType w:val="singleLevel"/>
    <w:tmpl w:val="7B9829E3"/>
    <w:lvl w:ilvl="0">
      <w:start w:val="1"/>
      <w:numFmt w:val="chineseCounting"/>
      <w:suff w:val="nothing"/>
      <w:lvlText w:val="%1、"/>
      <w:lvlJc w:val="left"/>
      <w:rPr>
        <w:rFonts w:hint="eastAsia"/>
      </w:rPr>
    </w:lvl>
  </w:abstractNum>
  <w:num w:numId="1" w16cid:durableId="600574076">
    <w:abstractNumId w:val="4"/>
  </w:num>
  <w:num w:numId="2" w16cid:durableId="897670567">
    <w:abstractNumId w:val="0"/>
  </w:num>
  <w:num w:numId="3" w16cid:durableId="45104245">
    <w:abstractNumId w:val="3"/>
  </w:num>
  <w:num w:numId="4" w16cid:durableId="1968971788">
    <w:abstractNumId w:val="7"/>
  </w:num>
  <w:num w:numId="5" w16cid:durableId="1794714985">
    <w:abstractNumId w:val="2"/>
  </w:num>
  <w:num w:numId="6" w16cid:durableId="1444423658">
    <w:abstractNumId w:val="5"/>
  </w:num>
  <w:num w:numId="7" w16cid:durableId="54864187">
    <w:abstractNumId w:val="8"/>
  </w:num>
  <w:num w:numId="8" w16cid:durableId="1332678196">
    <w:abstractNumId w:val="1"/>
  </w:num>
  <w:num w:numId="9" w16cid:durableId="141527541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6DE2"/>
    <w:rsid w:val="0000717F"/>
    <w:rsid w:val="00007E2C"/>
    <w:rsid w:val="000118DB"/>
    <w:rsid w:val="000124A8"/>
    <w:rsid w:val="0001335B"/>
    <w:rsid w:val="00013409"/>
    <w:rsid w:val="00014D35"/>
    <w:rsid w:val="000152A3"/>
    <w:rsid w:val="000153FF"/>
    <w:rsid w:val="0001671A"/>
    <w:rsid w:val="00021C8D"/>
    <w:rsid w:val="00021D92"/>
    <w:rsid w:val="00022297"/>
    <w:rsid w:val="00022B04"/>
    <w:rsid w:val="00024309"/>
    <w:rsid w:val="0002545F"/>
    <w:rsid w:val="00025FEE"/>
    <w:rsid w:val="00026E64"/>
    <w:rsid w:val="00027AB3"/>
    <w:rsid w:val="00030698"/>
    <w:rsid w:val="0003075E"/>
    <w:rsid w:val="00031897"/>
    <w:rsid w:val="000360F7"/>
    <w:rsid w:val="000365DA"/>
    <w:rsid w:val="000403D1"/>
    <w:rsid w:val="000407BF"/>
    <w:rsid w:val="00040BBC"/>
    <w:rsid w:val="000411DC"/>
    <w:rsid w:val="00041FF5"/>
    <w:rsid w:val="0004266A"/>
    <w:rsid w:val="0005060B"/>
    <w:rsid w:val="000525C0"/>
    <w:rsid w:val="00054E46"/>
    <w:rsid w:val="00054F1E"/>
    <w:rsid w:val="000612FA"/>
    <w:rsid w:val="000613B0"/>
    <w:rsid w:val="00061BAE"/>
    <w:rsid w:val="00062655"/>
    <w:rsid w:val="00062705"/>
    <w:rsid w:val="000649E0"/>
    <w:rsid w:val="000675E7"/>
    <w:rsid w:val="000707AE"/>
    <w:rsid w:val="0007413F"/>
    <w:rsid w:val="00075410"/>
    <w:rsid w:val="00076CAC"/>
    <w:rsid w:val="0007797B"/>
    <w:rsid w:val="00080CDE"/>
    <w:rsid w:val="0008194B"/>
    <w:rsid w:val="0008275D"/>
    <w:rsid w:val="00083914"/>
    <w:rsid w:val="00085C27"/>
    <w:rsid w:val="000862B5"/>
    <w:rsid w:val="00086EAC"/>
    <w:rsid w:val="000910F4"/>
    <w:rsid w:val="000913FB"/>
    <w:rsid w:val="00095777"/>
    <w:rsid w:val="000968FA"/>
    <w:rsid w:val="000A0FFF"/>
    <w:rsid w:val="000A1057"/>
    <w:rsid w:val="000A1B53"/>
    <w:rsid w:val="000A2818"/>
    <w:rsid w:val="000A303E"/>
    <w:rsid w:val="000A34FB"/>
    <w:rsid w:val="000A3770"/>
    <w:rsid w:val="000A4D3C"/>
    <w:rsid w:val="000A59FD"/>
    <w:rsid w:val="000A680C"/>
    <w:rsid w:val="000A71FA"/>
    <w:rsid w:val="000B0C96"/>
    <w:rsid w:val="000B0CCB"/>
    <w:rsid w:val="000B1257"/>
    <w:rsid w:val="000B2AFC"/>
    <w:rsid w:val="000B33EF"/>
    <w:rsid w:val="000B5DAE"/>
    <w:rsid w:val="000B5E0A"/>
    <w:rsid w:val="000B652F"/>
    <w:rsid w:val="000B79CD"/>
    <w:rsid w:val="000C0140"/>
    <w:rsid w:val="000C0306"/>
    <w:rsid w:val="000C0D4A"/>
    <w:rsid w:val="000C1584"/>
    <w:rsid w:val="000C2E27"/>
    <w:rsid w:val="000C2F58"/>
    <w:rsid w:val="000C4865"/>
    <w:rsid w:val="000C526F"/>
    <w:rsid w:val="000C5967"/>
    <w:rsid w:val="000C61FD"/>
    <w:rsid w:val="000D173E"/>
    <w:rsid w:val="000D1C1D"/>
    <w:rsid w:val="000D350B"/>
    <w:rsid w:val="000D73D4"/>
    <w:rsid w:val="000E0D08"/>
    <w:rsid w:val="000E2984"/>
    <w:rsid w:val="000E2CAA"/>
    <w:rsid w:val="000E43B8"/>
    <w:rsid w:val="000E6F6E"/>
    <w:rsid w:val="000E7E31"/>
    <w:rsid w:val="000F0335"/>
    <w:rsid w:val="000F1EFD"/>
    <w:rsid w:val="000F253C"/>
    <w:rsid w:val="000F38B6"/>
    <w:rsid w:val="000F3EBD"/>
    <w:rsid w:val="000F4660"/>
    <w:rsid w:val="000F51C1"/>
    <w:rsid w:val="000F5899"/>
    <w:rsid w:val="000F61ED"/>
    <w:rsid w:val="000F651C"/>
    <w:rsid w:val="000F6681"/>
    <w:rsid w:val="0010098D"/>
    <w:rsid w:val="001020F6"/>
    <w:rsid w:val="0010415C"/>
    <w:rsid w:val="00105C64"/>
    <w:rsid w:val="001067BE"/>
    <w:rsid w:val="00110824"/>
    <w:rsid w:val="0011178B"/>
    <w:rsid w:val="00111B5D"/>
    <w:rsid w:val="00112194"/>
    <w:rsid w:val="00112558"/>
    <w:rsid w:val="00113A53"/>
    <w:rsid w:val="00113BE3"/>
    <w:rsid w:val="00113DED"/>
    <w:rsid w:val="00114F6C"/>
    <w:rsid w:val="001217F2"/>
    <w:rsid w:val="001223DD"/>
    <w:rsid w:val="00122AC8"/>
    <w:rsid w:val="0012413C"/>
    <w:rsid w:val="00124C3D"/>
    <w:rsid w:val="0012512D"/>
    <w:rsid w:val="001251C3"/>
    <w:rsid w:val="0012526E"/>
    <w:rsid w:val="001260FB"/>
    <w:rsid w:val="001306DE"/>
    <w:rsid w:val="00130DBD"/>
    <w:rsid w:val="00130F49"/>
    <w:rsid w:val="00132485"/>
    <w:rsid w:val="00134266"/>
    <w:rsid w:val="00135E13"/>
    <w:rsid w:val="001366F8"/>
    <w:rsid w:val="00136878"/>
    <w:rsid w:val="0014051A"/>
    <w:rsid w:val="001408FD"/>
    <w:rsid w:val="00140BB7"/>
    <w:rsid w:val="0014108F"/>
    <w:rsid w:val="00142087"/>
    <w:rsid w:val="001477CE"/>
    <w:rsid w:val="00150A1A"/>
    <w:rsid w:val="00152342"/>
    <w:rsid w:val="001531A0"/>
    <w:rsid w:val="00153371"/>
    <w:rsid w:val="001541EE"/>
    <w:rsid w:val="0015436A"/>
    <w:rsid w:val="001556C2"/>
    <w:rsid w:val="0015763F"/>
    <w:rsid w:val="00157CE5"/>
    <w:rsid w:val="00157D20"/>
    <w:rsid w:val="00160FFE"/>
    <w:rsid w:val="00162BB1"/>
    <w:rsid w:val="00162C64"/>
    <w:rsid w:val="00163471"/>
    <w:rsid w:val="00163DBC"/>
    <w:rsid w:val="00165FDC"/>
    <w:rsid w:val="00166715"/>
    <w:rsid w:val="00166762"/>
    <w:rsid w:val="00166C31"/>
    <w:rsid w:val="00166D68"/>
    <w:rsid w:val="00167547"/>
    <w:rsid w:val="0016773D"/>
    <w:rsid w:val="00170C9E"/>
    <w:rsid w:val="001722AA"/>
    <w:rsid w:val="001725DA"/>
    <w:rsid w:val="00172A52"/>
    <w:rsid w:val="00172DCE"/>
    <w:rsid w:val="0017469B"/>
    <w:rsid w:val="001746EC"/>
    <w:rsid w:val="001753BF"/>
    <w:rsid w:val="00175B9E"/>
    <w:rsid w:val="001764C4"/>
    <w:rsid w:val="001768DD"/>
    <w:rsid w:val="00176921"/>
    <w:rsid w:val="001836E4"/>
    <w:rsid w:val="00184169"/>
    <w:rsid w:val="00184A58"/>
    <w:rsid w:val="00185583"/>
    <w:rsid w:val="0018727B"/>
    <w:rsid w:val="0018744D"/>
    <w:rsid w:val="00190E95"/>
    <w:rsid w:val="00191236"/>
    <w:rsid w:val="001912E8"/>
    <w:rsid w:val="00192845"/>
    <w:rsid w:val="00194489"/>
    <w:rsid w:val="0019623A"/>
    <w:rsid w:val="0019654F"/>
    <w:rsid w:val="001973EA"/>
    <w:rsid w:val="001A1BD1"/>
    <w:rsid w:val="001A28A1"/>
    <w:rsid w:val="001A4B52"/>
    <w:rsid w:val="001A517B"/>
    <w:rsid w:val="001A6359"/>
    <w:rsid w:val="001B0226"/>
    <w:rsid w:val="001B0A1F"/>
    <w:rsid w:val="001B181E"/>
    <w:rsid w:val="001B1FAA"/>
    <w:rsid w:val="001B2429"/>
    <w:rsid w:val="001B2513"/>
    <w:rsid w:val="001B2B67"/>
    <w:rsid w:val="001B359A"/>
    <w:rsid w:val="001B3C5A"/>
    <w:rsid w:val="001B7CF8"/>
    <w:rsid w:val="001C0045"/>
    <w:rsid w:val="001C1207"/>
    <w:rsid w:val="001C1D12"/>
    <w:rsid w:val="001C296B"/>
    <w:rsid w:val="001C30A9"/>
    <w:rsid w:val="001C31B1"/>
    <w:rsid w:val="001C3201"/>
    <w:rsid w:val="001C47B9"/>
    <w:rsid w:val="001C61E7"/>
    <w:rsid w:val="001C7D5B"/>
    <w:rsid w:val="001D0217"/>
    <w:rsid w:val="001D0CC7"/>
    <w:rsid w:val="001D0DA0"/>
    <w:rsid w:val="001D23DF"/>
    <w:rsid w:val="001D3A78"/>
    <w:rsid w:val="001D4C33"/>
    <w:rsid w:val="001D6771"/>
    <w:rsid w:val="001D7028"/>
    <w:rsid w:val="001E06CC"/>
    <w:rsid w:val="001E30B7"/>
    <w:rsid w:val="001E5185"/>
    <w:rsid w:val="001E6C4F"/>
    <w:rsid w:val="001E6F0D"/>
    <w:rsid w:val="001E6F33"/>
    <w:rsid w:val="001E701E"/>
    <w:rsid w:val="001E7AA5"/>
    <w:rsid w:val="001F0861"/>
    <w:rsid w:val="001F1390"/>
    <w:rsid w:val="001F1BE2"/>
    <w:rsid w:val="001F1C8B"/>
    <w:rsid w:val="001F1D21"/>
    <w:rsid w:val="001F2075"/>
    <w:rsid w:val="001F7541"/>
    <w:rsid w:val="001F7952"/>
    <w:rsid w:val="002001EE"/>
    <w:rsid w:val="00201191"/>
    <w:rsid w:val="00201B1D"/>
    <w:rsid w:val="00202696"/>
    <w:rsid w:val="002034A3"/>
    <w:rsid w:val="00203FBF"/>
    <w:rsid w:val="00204268"/>
    <w:rsid w:val="00205140"/>
    <w:rsid w:val="002053DF"/>
    <w:rsid w:val="002054D8"/>
    <w:rsid w:val="0020571A"/>
    <w:rsid w:val="0020628A"/>
    <w:rsid w:val="002070E1"/>
    <w:rsid w:val="00207867"/>
    <w:rsid w:val="0021137D"/>
    <w:rsid w:val="00212B22"/>
    <w:rsid w:val="00213EF3"/>
    <w:rsid w:val="002145F6"/>
    <w:rsid w:val="002152E9"/>
    <w:rsid w:val="00216CBC"/>
    <w:rsid w:val="002207E8"/>
    <w:rsid w:val="00220A11"/>
    <w:rsid w:val="00220CEA"/>
    <w:rsid w:val="00220D86"/>
    <w:rsid w:val="00221B96"/>
    <w:rsid w:val="002222D8"/>
    <w:rsid w:val="002228F9"/>
    <w:rsid w:val="00224888"/>
    <w:rsid w:val="00225266"/>
    <w:rsid w:val="0023289B"/>
    <w:rsid w:val="0023294C"/>
    <w:rsid w:val="00232A1D"/>
    <w:rsid w:val="00234AD7"/>
    <w:rsid w:val="00236885"/>
    <w:rsid w:val="00236971"/>
    <w:rsid w:val="00236A10"/>
    <w:rsid w:val="0023780F"/>
    <w:rsid w:val="002401FC"/>
    <w:rsid w:val="002402DC"/>
    <w:rsid w:val="00241BB7"/>
    <w:rsid w:val="0024326D"/>
    <w:rsid w:val="0024355A"/>
    <w:rsid w:val="002453A7"/>
    <w:rsid w:val="00245996"/>
    <w:rsid w:val="0024726E"/>
    <w:rsid w:val="002476F3"/>
    <w:rsid w:val="0025188D"/>
    <w:rsid w:val="00252A43"/>
    <w:rsid w:val="00253DDE"/>
    <w:rsid w:val="00256F8A"/>
    <w:rsid w:val="00256FA3"/>
    <w:rsid w:val="00257A48"/>
    <w:rsid w:val="00261A74"/>
    <w:rsid w:val="00262B4C"/>
    <w:rsid w:val="00262F0C"/>
    <w:rsid w:val="0026575C"/>
    <w:rsid w:val="00266C65"/>
    <w:rsid w:val="00266D71"/>
    <w:rsid w:val="00267A35"/>
    <w:rsid w:val="00267C2F"/>
    <w:rsid w:val="002702ED"/>
    <w:rsid w:val="00271B60"/>
    <w:rsid w:val="00273514"/>
    <w:rsid w:val="00273B15"/>
    <w:rsid w:val="00276DE2"/>
    <w:rsid w:val="00277D35"/>
    <w:rsid w:val="00281602"/>
    <w:rsid w:val="0028238E"/>
    <w:rsid w:val="00283FDA"/>
    <w:rsid w:val="002849C2"/>
    <w:rsid w:val="00284D31"/>
    <w:rsid w:val="002852CD"/>
    <w:rsid w:val="00285A12"/>
    <w:rsid w:val="0028710E"/>
    <w:rsid w:val="002873ED"/>
    <w:rsid w:val="00287C96"/>
    <w:rsid w:val="00287FAD"/>
    <w:rsid w:val="00291A65"/>
    <w:rsid w:val="002922B9"/>
    <w:rsid w:val="00292632"/>
    <w:rsid w:val="002940D7"/>
    <w:rsid w:val="0029556E"/>
    <w:rsid w:val="002A250C"/>
    <w:rsid w:val="002A2A87"/>
    <w:rsid w:val="002A2E20"/>
    <w:rsid w:val="002A3305"/>
    <w:rsid w:val="002A43A3"/>
    <w:rsid w:val="002A46DA"/>
    <w:rsid w:val="002A591F"/>
    <w:rsid w:val="002A667E"/>
    <w:rsid w:val="002A6A9E"/>
    <w:rsid w:val="002A6F74"/>
    <w:rsid w:val="002A76F6"/>
    <w:rsid w:val="002A7933"/>
    <w:rsid w:val="002B1B56"/>
    <w:rsid w:val="002B3084"/>
    <w:rsid w:val="002B466E"/>
    <w:rsid w:val="002B4D2D"/>
    <w:rsid w:val="002B5346"/>
    <w:rsid w:val="002B6714"/>
    <w:rsid w:val="002B7657"/>
    <w:rsid w:val="002C0B42"/>
    <w:rsid w:val="002C20C9"/>
    <w:rsid w:val="002C3F0F"/>
    <w:rsid w:val="002C4333"/>
    <w:rsid w:val="002C47A1"/>
    <w:rsid w:val="002C5A2A"/>
    <w:rsid w:val="002C6AD6"/>
    <w:rsid w:val="002D0B7D"/>
    <w:rsid w:val="002D1E14"/>
    <w:rsid w:val="002D3ED3"/>
    <w:rsid w:val="002D4CDD"/>
    <w:rsid w:val="002D7312"/>
    <w:rsid w:val="002D755C"/>
    <w:rsid w:val="002D77ED"/>
    <w:rsid w:val="002D7D3C"/>
    <w:rsid w:val="002E0AC1"/>
    <w:rsid w:val="002E1576"/>
    <w:rsid w:val="002E177B"/>
    <w:rsid w:val="002E26D6"/>
    <w:rsid w:val="002E45D9"/>
    <w:rsid w:val="002E4B3C"/>
    <w:rsid w:val="002E7890"/>
    <w:rsid w:val="002F16F2"/>
    <w:rsid w:val="002F1EB8"/>
    <w:rsid w:val="002F5245"/>
    <w:rsid w:val="002F6083"/>
    <w:rsid w:val="002F7E4F"/>
    <w:rsid w:val="003010A6"/>
    <w:rsid w:val="00301E5D"/>
    <w:rsid w:val="00303078"/>
    <w:rsid w:val="0030436E"/>
    <w:rsid w:val="00306008"/>
    <w:rsid w:val="00307315"/>
    <w:rsid w:val="00310AA2"/>
    <w:rsid w:val="003116E9"/>
    <w:rsid w:val="00311A76"/>
    <w:rsid w:val="00313F79"/>
    <w:rsid w:val="003175E4"/>
    <w:rsid w:val="003223F4"/>
    <w:rsid w:val="00323B1E"/>
    <w:rsid w:val="0032575C"/>
    <w:rsid w:val="00326350"/>
    <w:rsid w:val="00326BA6"/>
    <w:rsid w:val="00327A10"/>
    <w:rsid w:val="00330B34"/>
    <w:rsid w:val="0033357B"/>
    <w:rsid w:val="00333E0E"/>
    <w:rsid w:val="0033497D"/>
    <w:rsid w:val="003355A8"/>
    <w:rsid w:val="00335C62"/>
    <w:rsid w:val="003364C0"/>
    <w:rsid w:val="0033651E"/>
    <w:rsid w:val="003365B1"/>
    <w:rsid w:val="00336F5D"/>
    <w:rsid w:val="00340641"/>
    <w:rsid w:val="00340D7F"/>
    <w:rsid w:val="00340E76"/>
    <w:rsid w:val="0034498A"/>
    <w:rsid w:val="0035370C"/>
    <w:rsid w:val="003547F5"/>
    <w:rsid w:val="00354F69"/>
    <w:rsid w:val="0035625C"/>
    <w:rsid w:val="00356D1F"/>
    <w:rsid w:val="00357764"/>
    <w:rsid w:val="00360730"/>
    <w:rsid w:val="003631F1"/>
    <w:rsid w:val="00363B94"/>
    <w:rsid w:val="00363D60"/>
    <w:rsid w:val="003655D8"/>
    <w:rsid w:val="00366662"/>
    <w:rsid w:val="00371433"/>
    <w:rsid w:val="00371739"/>
    <w:rsid w:val="00371EF7"/>
    <w:rsid w:val="003730EA"/>
    <w:rsid w:val="0037328B"/>
    <w:rsid w:val="00374CE2"/>
    <w:rsid w:val="00375038"/>
    <w:rsid w:val="00375680"/>
    <w:rsid w:val="00377126"/>
    <w:rsid w:val="00377C5C"/>
    <w:rsid w:val="003800BE"/>
    <w:rsid w:val="003808DC"/>
    <w:rsid w:val="00382CAF"/>
    <w:rsid w:val="003846AA"/>
    <w:rsid w:val="00384F23"/>
    <w:rsid w:val="00385E3F"/>
    <w:rsid w:val="00390456"/>
    <w:rsid w:val="00391E2D"/>
    <w:rsid w:val="00394E9F"/>
    <w:rsid w:val="00395FE4"/>
    <w:rsid w:val="00397FA0"/>
    <w:rsid w:val="003A195D"/>
    <w:rsid w:val="003A28D3"/>
    <w:rsid w:val="003A2F95"/>
    <w:rsid w:val="003A5608"/>
    <w:rsid w:val="003A5C16"/>
    <w:rsid w:val="003B19D6"/>
    <w:rsid w:val="003B2829"/>
    <w:rsid w:val="003B2BB7"/>
    <w:rsid w:val="003B3115"/>
    <w:rsid w:val="003B62B3"/>
    <w:rsid w:val="003B65F6"/>
    <w:rsid w:val="003B7FE0"/>
    <w:rsid w:val="003C02B8"/>
    <w:rsid w:val="003C467E"/>
    <w:rsid w:val="003C4863"/>
    <w:rsid w:val="003C5A40"/>
    <w:rsid w:val="003C7E68"/>
    <w:rsid w:val="003D0930"/>
    <w:rsid w:val="003D17F9"/>
    <w:rsid w:val="003D1FCF"/>
    <w:rsid w:val="003D3157"/>
    <w:rsid w:val="003D5B9A"/>
    <w:rsid w:val="003D6069"/>
    <w:rsid w:val="003D613D"/>
    <w:rsid w:val="003D6B1D"/>
    <w:rsid w:val="003E03FF"/>
    <w:rsid w:val="003E0F27"/>
    <w:rsid w:val="003E1308"/>
    <w:rsid w:val="003E134F"/>
    <w:rsid w:val="003E2063"/>
    <w:rsid w:val="003E2118"/>
    <w:rsid w:val="003E2714"/>
    <w:rsid w:val="003E45B3"/>
    <w:rsid w:val="003E4FA9"/>
    <w:rsid w:val="003E6681"/>
    <w:rsid w:val="003F072A"/>
    <w:rsid w:val="003F1366"/>
    <w:rsid w:val="003F1C59"/>
    <w:rsid w:val="003F4648"/>
    <w:rsid w:val="003F4B22"/>
    <w:rsid w:val="003F5290"/>
    <w:rsid w:val="003F71C3"/>
    <w:rsid w:val="003F7E25"/>
    <w:rsid w:val="0040021C"/>
    <w:rsid w:val="004003D9"/>
    <w:rsid w:val="004012B3"/>
    <w:rsid w:val="00405C55"/>
    <w:rsid w:val="004063CD"/>
    <w:rsid w:val="004066BE"/>
    <w:rsid w:val="00406BC9"/>
    <w:rsid w:val="00410E8F"/>
    <w:rsid w:val="00412EB1"/>
    <w:rsid w:val="004168DD"/>
    <w:rsid w:val="00420A17"/>
    <w:rsid w:val="00420EB0"/>
    <w:rsid w:val="004241DE"/>
    <w:rsid w:val="0042468B"/>
    <w:rsid w:val="004253B0"/>
    <w:rsid w:val="00426AE1"/>
    <w:rsid w:val="004301A4"/>
    <w:rsid w:val="004312A6"/>
    <w:rsid w:val="00431B15"/>
    <w:rsid w:val="00432494"/>
    <w:rsid w:val="00432AA6"/>
    <w:rsid w:val="00433E77"/>
    <w:rsid w:val="004411B3"/>
    <w:rsid w:val="004419F0"/>
    <w:rsid w:val="00442369"/>
    <w:rsid w:val="00442995"/>
    <w:rsid w:val="00443762"/>
    <w:rsid w:val="00444975"/>
    <w:rsid w:val="00444C0F"/>
    <w:rsid w:val="004454BD"/>
    <w:rsid w:val="00446BCA"/>
    <w:rsid w:val="00446C73"/>
    <w:rsid w:val="004478FC"/>
    <w:rsid w:val="00447F98"/>
    <w:rsid w:val="00450219"/>
    <w:rsid w:val="004504C5"/>
    <w:rsid w:val="004516A8"/>
    <w:rsid w:val="004548FB"/>
    <w:rsid w:val="0045670E"/>
    <w:rsid w:val="00460512"/>
    <w:rsid w:val="004606D9"/>
    <w:rsid w:val="00472205"/>
    <w:rsid w:val="0047392E"/>
    <w:rsid w:val="00473990"/>
    <w:rsid w:val="00474875"/>
    <w:rsid w:val="00475508"/>
    <w:rsid w:val="00482DA2"/>
    <w:rsid w:val="004835D8"/>
    <w:rsid w:val="004842EE"/>
    <w:rsid w:val="004876AD"/>
    <w:rsid w:val="00487C9C"/>
    <w:rsid w:val="00491516"/>
    <w:rsid w:val="00493ABB"/>
    <w:rsid w:val="00495F2D"/>
    <w:rsid w:val="00496FCB"/>
    <w:rsid w:val="004A03F0"/>
    <w:rsid w:val="004A0BCF"/>
    <w:rsid w:val="004A16C2"/>
    <w:rsid w:val="004A30A4"/>
    <w:rsid w:val="004A5062"/>
    <w:rsid w:val="004A631C"/>
    <w:rsid w:val="004A6D82"/>
    <w:rsid w:val="004B0B0F"/>
    <w:rsid w:val="004B1723"/>
    <w:rsid w:val="004B1C5C"/>
    <w:rsid w:val="004B369E"/>
    <w:rsid w:val="004B4653"/>
    <w:rsid w:val="004B5EEC"/>
    <w:rsid w:val="004B5F68"/>
    <w:rsid w:val="004B6465"/>
    <w:rsid w:val="004B68C4"/>
    <w:rsid w:val="004C12BA"/>
    <w:rsid w:val="004C2E18"/>
    <w:rsid w:val="004C3281"/>
    <w:rsid w:val="004C5958"/>
    <w:rsid w:val="004C5B8B"/>
    <w:rsid w:val="004C5EE3"/>
    <w:rsid w:val="004C64D6"/>
    <w:rsid w:val="004C6FAA"/>
    <w:rsid w:val="004C7261"/>
    <w:rsid w:val="004C7BE5"/>
    <w:rsid w:val="004D196B"/>
    <w:rsid w:val="004D2680"/>
    <w:rsid w:val="004D467E"/>
    <w:rsid w:val="004D76D3"/>
    <w:rsid w:val="004E0959"/>
    <w:rsid w:val="004E15F1"/>
    <w:rsid w:val="004E32BA"/>
    <w:rsid w:val="004E3D65"/>
    <w:rsid w:val="004E643A"/>
    <w:rsid w:val="004E660A"/>
    <w:rsid w:val="004F0011"/>
    <w:rsid w:val="004F16F6"/>
    <w:rsid w:val="004F24CE"/>
    <w:rsid w:val="004F3E60"/>
    <w:rsid w:val="004F5DAD"/>
    <w:rsid w:val="004F63CF"/>
    <w:rsid w:val="004F693B"/>
    <w:rsid w:val="004F6D88"/>
    <w:rsid w:val="00501458"/>
    <w:rsid w:val="00501715"/>
    <w:rsid w:val="0050180D"/>
    <w:rsid w:val="005021AB"/>
    <w:rsid w:val="005026D7"/>
    <w:rsid w:val="00502F01"/>
    <w:rsid w:val="00505B5F"/>
    <w:rsid w:val="00505F72"/>
    <w:rsid w:val="00506C05"/>
    <w:rsid w:val="00507DA6"/>
    <w:rsid w:val="005113C3"/>
    <w:rsid w:val="005138D4"/>
    <w:rsid w:val="00513A57"/>
    <w:rsid w:val="00514579"/>
    <w:rsid w:val="00514B10"/>
    <w:rsid w:val="00516393"/>
    <w:rsid w:val="0051786E"/>
    <w:rsid w:val="00517FC5"/>
    <w:rsid w:val="0052010E"/>
    <w:rsid w:val="00521609"/>
    <w:rsid w:val="00521A14"/>
    <w:rsid w:val="00521C07"/>
    <w:rsid w:val="00523668"/>
    <w:rsid w:val="00523959"/>
    <w:rsid w:val="0052662C"/>
    <w:rsid w:val="005271F0"/>
    <w:rsid w:val="00527C08"/>
    <w:rsid w:val="0053253F"/>
    <w:rsid w:val="0053363F"/>
    <w:rsid w:val="005338BA"/>
    <w:rsid w:val="00534933"/>
    <w:rsid w:val="00535622"/>
    <w:rsid w:val="00536B69"/>
    <w:rsid w:val="00540576"/>
    <w:rsid w:val="00541844"/>
    <w:rsid w:val="00541C51"/>
    <w:rsid w:val="00542DE2"/>
    <w:rsid w:val="0054559E"/>
    <w:rsid w:val="00545FF7"/>
    <w:rsid w:val="005460DC"/>
    <w:rsid w:val="00546A80"/>
    <w:rsid w:val="00546DCE"/>
    <w:rsid w:val="005504A4"/>
    <w:rsid w:val="005529FB"/>
    <w:rsid w:val="00554AF2"/>
    <w:rsid w:val="00554CF7"/>
    <w:rsid w:val="00555C1C"/>
    <w:rsid w:val="005563DF"/>
    <w:rsid w:val="00556AE8"/>
    <w:rsid w:val="005616E1"/>
    <w:rsid w:val="00562C00"/>
    <w:rsid w:val="00563D40"/>
    <w:rsid w:val="00564088"/>
    <w:rsid w:val="00564434"/>
    <w:rsid w:val="00564A26"/>
    <w:rsid w:val="00564BC8"/>
    <w:rsid w:val="00567DA1"/>
    <w:rsid w:val="00570223"/>
    <w:rsid w:val="0057170A"/>
    <w:rsid w:val="00572D12"/>
    <w:rsid w:val="00572DC8"/>
    <w:rsid w:val="005744FF"/>
    <w:rsid w:val="0057463A"/>
    <w:rsid w:val="00574994"/>
    <w:rsid w:val="00575319"/>
    <w:rsid w:val="00575580"/>
    <w:rsid w:val="00575A52"/>
    <w:rsid w:val="00575BF0"/>
    <w:rsid w:val="00575C1F"/>
    <w:rsid w:val="005763F0"/>
    <w:rsid w:val="00576BFA"/>
    <w:rsid w:val="00577636"/>
    <w:rsid w:val="0057794C"/>
    <w:rsid w:val="00577E63"/>
    <w:rsid w:val="00580F8E"/>
    <w:rsid w:val="00581280"/>
    <w:rsid w:val="00581660"/>
    <w:rsid w:val="00582104"/>
    <w:rsid w:val="00583C32"/>
    <w:rsid w:val="00584D22"/>
    <w:rsid w:val="0058542A"/>
    <w:rsid w:val="00585ECE"/>
    <w:rsid w:val="0058697B"/>
    <w:rsid w:val="0058737B"/>
    <w:rsid w:val="00587D1E"/>
    <w:rsid w:val="0059023E"/>
    <w:rsid w:val="005906BD"/>
    <w:rsid w:val="00592A50"/>
    <w:rsid w:val="0059310C"/>
    <w:rsid w:val="00597E3D"/>
    <w:rsid w:val="005A00EA"/>
    <w:rsid w:val="005A15F8"/>
    <w:rsid w:val="005A179D"/>
    <w:rsid w:val="005A4752"/>
    <w:rsid w:val="005A54CB"/>
    <w:rsid w:val="005A5B97"/>
    <w:rsid w:val="005A7F76"/>
    <w:rsid w:val="005B0E6D"/>
    <w:rsid w:val="005B1BDE"/>
    <w:rsid w:val="005B4002"/>
    <w:rsid w:val="005B60AB"/>
    <w:rsid w:val="005B7DE9"/>
    <w:rsid w:val="005C0722"/>
    <w:rsid w:val="005C201B"/>
    <w:rsid w:val="005C26B8"/>
    <w:rsid w:val="005C2A1E"/>
    <w:rsid w:val="005C6104"/>
    <w:rsid w:val="005C714B"/>
    <w:rsid w:val="005C78FE"/>
    <w:rsid w:val="005D0DD7"/>
    <w:rsid w:val="005D7F38"/>
    <w:rsid w:val="005E20C5"/>
    <w:rsid w:val="005E32F6"/>
    <w:rsid w:val="005E3774"/>
    <w:rsid w:val="005E3FD2"/>
    <w:rsid w:val="005E44D4"/>
    <w:rsid w:val="005E4B11"/>
    <w:rsid w:val="005E6A99"/>
    <w:rsid w:val="005E78E0"/>
    <w:rsid w:val="005F1796"/>
    <w:rsid w:val="005F28D0"/>
    <w:rsid w:val="005F41ED"/>
    <w:rsid w:val="005F4C86"/>
    <w:rsid w:val="005F65C3"/>
    <w:rsid w:val="005F65EA"/>
    <w:rsid w:val="005F6A2E"/>
    <w:rsid w:val="005F6F98"/>
    <w:rsid w:val="00600ABD"/>
    <w:rsid w:val="00601A4B"/>
    <w:rsid w:val="00601B71"/>
    <w:rsid w:val="00604680"/>
    <w:rsid w:val="006051CF"/>
    <w:rsid w:val="00606D78"/>
    <w:rsid w:val="00607A94"/>
    <w:rsid w:val="00613B7D"/>
    <w:rsid w:val="00613F47"/>
    <w:rsid w:val="006150F0"/>
    <w:rsid w:val="006160D6"/>
    <w:rsid w:val="006167C5"/>
    <w:rsid w:val="0061695C"/>
    <w:rsid w:val="00620818"/>
    <w:rsid w:val="00623AAE"/>
    <w:rsid w:val="00624CDF"/>
    <w:rsid w:val="00626BAD"/>
    <w:rsid w:val="00633A19"/>
    <w:rsid w:val="00634FB2"/>
    <w:rsid w:val="0063640C"/>
    <w:rsid w:val="00636A9B"/>
    <w:rsid w:val="006373F2"/>
    <w:rsid w:val="00637B6C"/>
    <w:rsid w:val="00640E80"/>
    <w:rsid w:val="006426A7"/>
    <w:rsid w:val="00642D1C"/>
    <w:rsid w:val="00643126"/>
    <w:rsid w:val="00643A04"/>
    <w:rsid w:val="00643AA9"/>
    <w:rsid w:val="006447B8"/>
    <w:rsid w:val="00646043"/>
    <w:rsid w:val="0064615B"/>
    <w:rsid w:val="00651A20"/>
    <w:rsid w:val="00651E2D"/>
    <w:rsid w:val="00652BD5"/>
    <w:rsid w:val="00653D2B"/>
    <w:rsid w:val="006551DD"/>
    <w:rsid w:val="00655C54"/>
    <w:rsid w:val="00662C11"/>
    <w:rsid w:val="00663F9E"/>
    <w:rsid w:val="006642B8"/>
    <w:rsid w:val="006659EC"/>
    <w:rsid w:val="00665A37"/>
    <w:rsid w:val="00665AF0"/>
    <w:rsid w:val="00665BCD"/>
    <w:rsid w:val="00667EB1"/>
    <w:rsid w:val="00673067"/>
    <w:rsid w:val="00674A42"/>
    <w:rsid w:val="00674B73"/>
    <w:rsid w:val="00674C0A"/>
    <w:rsid w:val="00675C94"/>
    <w:rsid w:val="00676975"/>
    <w:rsid w:val="0067704C"/>
    <w:rsid w:val="00677257"/>
    <w:rsid w:val="00680EE4"/>
    <w:rsid w:val="00682282"/>
    <w:rsid w:val="006840E6"/>
    <w:rsid w:val="0068412A"/>
    <w:rsid w:val="006855C9"/>
    <w:rsid w:val="00686217"/>
    <w:rsid w:val="00686224"/>
    <w:rsid w:val="00687A82"/>
    <w:rsid w:val="006902D4"/>
    <w:rsid w:val="00693315"/>
    <w:rsid w:val="00694515"/>
    <w:rsid w:val="006967FD"/>
    <w:rsid w:val="00697D7B"/>
    <w:rsid w:val="006A0533"/>
    <w:rsid w:val="006A05FB"/>
    <w:rsid w:val="006A3356"/>
    <w:rsid w:val="006A3A79"/>
    <w:rsid w:val="006A49E3"/>
    <w:rsid w:val="006A60C7"/>
    <w:rsid w:val="006A62A9"/>
    <w:rsid w:val="006A64A8"/>
    <w:rsid w:val="006B102C"/>
    <w:rsid w:val="006B18D3"/>
    <w:rsid w:val="006B1990"/>
    <w:rsid w:val="006B48F7"/>
    <w:rsid w:val="006B4AA4"/>
    <w:rsid w:val="006B4E36"/>
    <w:rsid w:val="006B6420"/>
    <w:rsid w:val="006B716D"/>
    <w:rsid w:val="006B78C0"/>
    <w:rsid w:val="006B7F55"/>
    <w:rsid w:val="006C1C1C"/>
    <w:rsid w:val="006C26E0"/>
    <w:rsid w:val="006C274A"/>
    <w:rsid w:val="006C2CF5"/>
    <w:rsid w:val="006C31BD"/>
    <w:rsid w:val="006C35B6"/>
    <w:rsid w:val="006C489A"/>
    <w:rsid w:val="006C7759"/>
    <w:rsid w:val="006C7F80"/>
    <w:rsid w:val="006D0124"/>
    <w:rsid w:val="006D102D"/>
    <w:rsid w:val="006D1DB3"/>
    <w:rsid w:val="006D1DCC"/>
    <w:rsid w:val="006D3236"/>
    <w:rsid w:val="006D32EA"/>
    <w:rsid w:val="006D34A3"/>
    <w:rsid w:val="006D426C"/>
    <w:rsid w:val="006D6664"/>
    <w:rsid w:val="006D69F9"/>
    <w:rsid w:val="006E1DA3"/>
    <w:rsid w:val="006E30C0"/>
    <w:rsid w:val="006E430F"/>
    <w:rsid w:val="006E43A5"/>
    <w:rsid w:val="006E6C3E"/>
    <w:rsid w:val="006E779B"/>
    <w:rsid w:val="006E79E9"/>
    <w:rsid w:val="006F0E84"/>
    <w:rsid w:val="006F22E1"/>
    <w:rsid w:val="006F2AFB"/>
    <w:rsid w:val="006F2C8D"/>
    <w:rsid w:val="006F3DBC"/>
    <w:rsid w:val="006F4382"/>
    <w:rsid w:val="006F46AB"/>
    <w:rsid w:val="006F7939"/>
    <w:rsid w:val="0070161A"/>
    <w:rsid w:val="00702EB1"/>
    <w:rsid w:val="007039CA"/>
    <w:rsid w:val="0070442C"/>
    <w:rsid w:val="007053CF"/>
    <w:rsid w:val="00706210"/>
    <w:rsid w:val="007062CD"/>
    <w:rsid w:val="007067A0"/>
    <w:rsid w:val="00710F07"/>
    <w:rsid w:val="007124C7"/>
    <w:rsid w:val="00714C2B"/>
    <w:rsid w:val="0071604D"/>
    <w:rsid w:val="007173FC"/>
    <w:rsid w:val="00717720"/>
    <w:rsid w:val="00720333"/>
    <w:rsid w:val="00720497"/>
    <w:rsid w:val="00721D67"/>
    <w:rsid w:val="00722026"/>
    <w:rsid w:val="00722A89"/>
    <w:rsid w:val="00722D8F"/>
    <w:rsid w:val="00723475"/>
    <w:rsid w:val="0072470E"/>
    <w:rsid w:val="00724964"/>
    <w:rsid w:val="00725270"/>
    <w:rsid w:val="00725AAC"/>
    <w:rsid w:val="007279E9"/>
    <w:rsid w:val="00727D69"/>
    <w:rsid w:val="00730B42"/>
    <w:rsid w:val="007311D9"/>
    <w:rsid w:val="0073132C"/>
    <w:rsid w:val="00731521"/>
    <w:rsid w:val="0073395E"/>
    <w:rsid w:val="00736F32"/>
    <w:rsid w:val="00737055"/>
    <w:rsid w:val="007403CD"/>
    <w:rsid w:val="007413D9"/>
    <w:rsid w:val="00745C67"/>
    <w:rsid w:val="0074670E"/>
    <w:rsid w:val="007478B9"/>
    <w:rsid w:val="00750E5E"/>
    <w:rsid w:val="0075203C"/>
    <w:rsid w:val="0075223A"/>
    <w:rsid w:val="00752696"/>
    <w:rsid w:val="00755D86"/>
    <w:rsid w:val="0075670F"/>
    <w:rsid w:val="00757288"/>
    <w:rsid w:val="00757D00"/>
    <w:rsid w:val="0076060F"/>
    <w:rsid w:val="00760AF4"/>
    <w:rsid w:val="007624D8"/>
    <w:rsid w:val="00762798"/>
    <w:rsid w:val="00763EE8"/>
    <w:rsid w:val="00764118"/>
    <w:rsid w:val="007656EA"/>
    <w:rsid w:val="00766773"/>
    <w:rsid w:val="00770065"/>
    <w:rsid w:val="00770193"/>
    <w:rsid w:val="00772752"/>
    <w:rsid w:val="007735A1"/>
    <w:rsid w:val="00774912"/>
    <w:rsid w:val="0077592E"/>
    <w:rsid w:val="00775D7A"/>
    <w:rsid w:val="007764B3"/>
    <w:rsid w:val="007777EB"/>
    <w:rsid w:val="00780727"/>
    <w:rsid w:val="00783543"/>
    <w:rsid w:val="007842B6"/>
    <w:rsid w:val="007868D1"/>
    <w:rsid w:val="007873D3"/>
    <w:rsid w:val="007920D2"/>
    <w:rsid w:val="007922FC"/>
    <w:rsid w:val="0079496A"/>
    <w:rsid w:val="007955C8"/>
    <w:rsid w:val="007A2DBA"/>
    <w:rsid w:val="007A30EF"/>
    <w:rsid w:val="007A391B"/>
    <w:rsid w:val="007A3B29"/>
    <w:rsid w:val="007A7390"/>
    <w:rsid w:val="007B0817"/>
    <w:rsid w:val="007B0975"/>
    <w:rsid w:val="007B23D0"/>
    <w:rsid w:val="007B2CC8"/>
    <w:rsid w:val="007B56A9"/>
    <w:rsid w:val="007B60D9"/>
    <w:rsid w:val="007C042E"/>
    <w:rsid w:val="007C196A"/>
    <w:rsid w:val="007C2638"/>
    <w:rsid w:val="007C41EA"/>
    <w:rsid w:val="007C49BB"/>
    <w:rsid w:val="007C5375"/>
    <w:rsid w:val="007C6269"/>
    <w:rsid w:val="007C7693"/>
    <w:rsid w:val="007D203D"/>
    <w:rsid w:val="007D4482"/>
    <w:rsid w:val="007D4666"/>
    <w:rsid w:val="007D565F"/>
    <w:rsid w:val="007D5877"/>
    <w:rsid w:val="007D66A4"/>
    <w:rsid w:val="007D7372"/>
    <w:rsid w:val="007D75EA"/>
    <w:rsid w:val="007D768A"/>
    <w:rsid w:val="007E1A31"/>
    <w:rsid w:val="007E21E5"/>
    <w:rsid w:val="007E6F4F"/>
    <w:rsid w:val="007F265A"/>
    <w:rsid w:val="007F2DA0"/>
    <w:rsid w:val="007F311A"/>
    <w:rsid w:val="007F3B04"/>
    <w:rsid w:val="007F3FC0"/>
    <w:rsid w:val="007F4BE6"/>
    <w:rsid w:val="007F6ECB"/>
    <w:rsid w:val="007F74A7"/>
    <w:rsid w:val="007F7720"/>
    <w:rsid w:val="00800CBD"/>
    <w:rsid w:val="00800EEF"/>
    <w:rsid w:val="00801424"/>
    <w:rsid w:val="008019BF"/>
    <w:rsid w:val="008034EB"/>
    <w:rsid w:val="0080372F"/>
    <w:rsid w:val="0080487F"/>
    <w:rsid w:val="00805580"/>
    <w:rsid w:val="008056C4"/>
    <w:rsid w:val="00805FC2"/>
    <w:rsid w:val="00811035"/>
    <w:rsid w:val="00811A14"/>
    <w:rsid w:val="008134CE"/>
    <w:rsid w:val="008137A5"/>
    <w:rsid w:val="0081464E"/>
    <w:rsid w:val="00814A4A"/>
    <w:rsid w:val="008159D8"/>
    <w:rsid w:val="00816E41"/>
    <w:rsid w:val="0081760C"/>
    <w:rsid w:val="00817CA3"/>
    <w:rsid w:val="00821A61"/>
    <w:rsid w:val="008221CB"/>
    <w:rsid w:val="00830E8A"/>
    <w:rsid w:val="008318D0"/>
    <w:rsid w:val="00831DD9"/>
    <w:rsid w:val="0083758A"/>
    <w:rsid w:val="00840F04"/>
    <w:rsid w:val="008418B7"/>
    <w:rsid w:val="0084413A"/>
    <w:rsid w:val="00845016"/>
    <w:rsid w:val="00845828"/>
    <w:rsid w:val="00847571"/>
    <w:rsid w:val="00850F3F"/>
    <w:rsid w:val="00850FB6"/>
    <w:rsid w:val="00852889"/>
    <w:rsid w:val="00852CEA"/>
    <w:rsid w:val="00852EE2"/>
    <w:rsid w:val="008537AB"/>
    <w:rsid w:val="00853F5C"/>
    <w:rsid w:val="00855AE9"/>
    <w:rsid w:val="00855DFD"/>
    <w:rsid w:val="00856929"/>
    <w:rsid w:val="00856B9E"/>
    <w:rsid w:val="00860829"/>
    <w:rsid w:val="008642F6"/>
    <w:rsid w:val="00864429"/>
    <w:rsid w:val="00865262"/>
    <w:rsid w:val="00865BD0"/>
    <w:rsid w:val="008668B7"/>
    <w:rsid w:val="00867579"/>
    <w:rsid w:val="00867B31"/>
    <w:rsid w:val="00870459"/>
    <w:rsid w:val="00870DA7"/>
    <w:rsid w:val="0087144E"/>
    <w:rsid w:val="008728D3"/>
    <w:rsid w:val="00873A23"/>
    <w:rsid w:val="00876B00"/>
    <w:rsid w:val="00876BB4"/>
    <w:rsid w:val="00882731"/>
    <w:rsid w:val="00883672"/>
    <w:rsid w:val="00884330"/>
    <w:rsid w:val="00884FE1"/>
    <w:rsid w:val="0088710B"/>
    <w:rsid w:val="00887D1E"/>
    <w:rsid w:val="008911BA"/>
    <w:rsid w:val="0089492F"/>
    <w:rsid w:val="00894A26"/>
    <w:rsid w:val="0089573F"/>
    <w:rsid w:val="0089754F"/>
    <w:rsid w:val="008A0E0C"/>
    <w:rsid w:val="008A2ED9"/>
    <w:rsid w:val="008A39C8"/>
    <w:rsid w:val="008A3D04"/>
    <w:rsid w:val="008A43A1"/>
    <w:rsid w:val="008A4788"/>
    <w:rsid w:val="008A497B"/>
    <w:rsid w:val="008A5972"/>
    <w:rsid w:val="008A6EA6"/>
    <w:rsid w:val="008B17F7"/>
    <w:rsid w:val="008B200B"/>
    <w:rsid w:val="008B2D0D"/>
    <w:rsid w:val="008B3EBA"/>
    <w:rsid w:val="008B5792"/>
    <w:rsid w:val="008B62EC"/>
    <w:rsid w:val="008B6874"/>
    <w:rsid w:val="008B70F1"/>
    <w:rsid w:val="008B72FB"/>
    <w:rsid w:val="008B7993"/>
    <w:rsid w:val="008C23F6"/>
    <w:rsid w:val="008C25A6"/>
    <w:rsid w:val="008C4F48"/>
    <w:rsid w:val="008C5199"/>
    <w:rsid w:val="008D13AA"/>
    <w:rsid w:val="008D1FD9"/>
    <w:rsid w:val="008D35E9"/>
    <w:rsid w:val="008D39BD"/>
    <w:rsid w:val="008D56E4"/>
    <w:rsid w:val="008D690E"/>
    <w:rsid w:val="008D691E"/>
    <w:rsid w:val="008D70EA"/>
    <w:rsid w:val="008D7916"/>
    <w:rsid w:val="008E3E62"/>
    <w:rsid w:val="008E5238"/>
    <w:rsid w:val="008E5659"/>
    <w:rsid w:val="008E6A6D"/>
    <w:rsid w:val="008E728E"/>
    <w:rsid w:val="008E7F4D"/>
    <w:rsid w:val="008F0855"/>
    <w:rsid w:val="008F1332"/>
    <w:rsid w:val="008F18E4"/>
    <w:rsid w:val="008F2220"/>
    <w:rsid w:val="008F2888"/>
    <w:rsid w:val="008F3481"/>
    <w:rsid w:val="008F56DE"/>
    <w:rsid w:val="008F60C3"/>
    <w:rsid w:val="008F72EA"/>
    <w:rsid w:val="0090106B"/>
    <w:rsid w:val="0090132C"/>
    <w:rsid w:val="00901458"/>
    <w:rsid w:val="00902407"/>
    <w:rsid w:val="00902E2D"/>
    <w:rsid w:val="00904053"/>
    <w:rsid w:val="0090703B"/>
    <w:rsid w:val="00907FFC"/>
    <w:rsid w:val="00911485"/>
    <w:rsid w:val="00911D08"/>
    <w:rsid w:val="00914039"/>
    <w:rsid w:val="0091671E"/>
    <w:rsid w:val="00916B9C"/>
    <w:rsid w:val="009172EF"/>
    <w:rsid w:val="00920510"/>
    <w:rsid w:val="0092320B"/>
    <w:rsid w:val="00923616"/>
    <w:rsid w:val="00926D18"/>
    <w:rsid w:val="0092759D"/>
    <w:rsid w:val="009302A0"/>
    <w:rsid w:val="00930606"/>
    <w:rsid w:val="009328DC"/>
    <w:rsid w:val="00932EC2"/>
    <w:rsid w:val="0093331E"/>
    <w:rsid w:val="0093409A"/>
    <w:rsid w:val="009345FF"/>
    <w:rsid w:val="009376D9"/>
    <w:rsid w:val="009402ED"/>
    <w:rsid w:val="009404F5"/>
    <w:rsid w:val="00941ECA"/>
    <w:rsid w:val="0094284E"/>
    <w:rsid w:val="00942C11"/>
    <w:rsid w:val="00944100"/>
    <w:rsid w:val="0094503A"/>
    <w:rsid w:val="0094731F"/>
    <w:rsid w:val="0094789D"/>
    <w:rsid w:val="0094799E"/>
    <w:rsid w:val="00950DC5"/>
    <w:rsid w:val="00951213"/>
    <w:rsid w:val="0095308F"/>
    <w:rsid w:val="00957A73"/>
    <w:rsid w:val="00957FA9"/>
    <w:rsid w:val="009611C4"/>
    <w:rsid w:val="00961D9F"/>
    <w:rsid w:val="00963765"/>
    <w:rsid w:val="00965741"/>
    <w:rsid w:val="00965B3D"/>
    <w:rsid w:val="00971AD4"/>
    <w:rsid w:val="00971EBE"/>
    <w:rsid w:val="009733CB"/>
    <w:rsid w:val="00974583"/>
    <w:rsid w:val="00974D5A"/>
    <w:rsid w:val="00976A31"/>
    <w:rsid w:val="00976EB9"/>
    <w:rsid w:val="00977E8E"/>
    <w:rsid w:val="009807C3"/>
    <w:rsid w:val="009827FC"/>
    <w:rsid w:val="00983A85"/>
    <w:rsid w:val="0098488D"/>
    <w:rsid w:val="009855CA"/>
    <w:rsid w:val="009856F7"/>
    <w:rsid w:val="00990143"/>
    <w:rsid w:val="00991AC9"/>
    <w:rsid w:val="00994E42"/>
    <w:rsid w:val="0099543A"/>
    <w:rsid w:val="00997534"/>
    <w:rsid w:val="009A0A2E"/>
    <w:rsid w:val="009A1E88"/>
    <w:rsid w:val="009A2F09"/>
    <w:rsid w:val="009A3F93"/>
    <w:rsid w:val="009B2509"/>
    <w:rsid w:val="009C0259"/>
    <w:rsid w:val="009C03B7"/>
    <w:rsid w:val="009C13EB"/>
    <w:rsid w:val="009C1894"/>
    <w:rsid w:val="009C39F3"/>
    <w:rsid w:val="009C50C1"/>
    <w:rsid w:val="009C515C"/>
    <w:rsid w:val="009C57FB"/>
    <w:rsid w:val="009D2071"/>
    <w:rsid w:val="009D52B6"/>
    <w:rsid w:val="009D6014"/>
    <w:rsid w:val="009D69D8"/>
    <w:rsid w:val="009D746D"/>
    <w:rsid w:val="009E0E2A"/>
    <w:rsid w:val="009E31AB"/>
    <w:rsid w:val="009E44C9"/>
    <w:rsid w:val="009E4AED"/>
    <w:rsid w:val="009E53A9"/>
    <w:rsid w:val="009E574B"/>
    <w:rsid w:val="009E76C9"/>
    <w:rsid w:val="009F0537"/>
    <w:rsid w:val="009F1525"/>
    <w:rsid w:val="009F1FB6"/>
    <w:rsid w:val="009F3CC6"/>
    <w:rsid w:val="009F4918"/>
    <w:rsid w:val="009F4A46"/>
    <w:rsid w:val="009F4EB1"/>
    <w:rsid w:val="009F7564"/>
    <w:rsid w:val="00A003D1"/>
    <w:rsid w:val="00A00903"/>
    <w:rsid w:val="00A00D1C"/>
    <w:rsid w:val="00A02A2F"/>
    <w:rsid w:val="00A03A36"/>
    <w:rsid w:val="00A03BE9"/>
    <w:rsid w:val="00A05009"/>
    <w:rsid w:val="00A07D78"/>
    <w:rsid w:val="00A11159"/>
    <w:rsid w:val="00A12415"/>
    <w:rsid w:val="00A12BDE"/>
    <w:rsid w:val="00A14991"/>
    <w:rsid w:val="00A160A2"/>
    <w:rsid w:val="00A16AE2"/>
    <w:rsid w:val="00A206AB"/>
    <w:rsid w:val="00A22C07"/>
    <w:rsid w:val="00A231F4"/>
    <w:rsid w:val="00A23B64"/>
    <w:rsid w:val="00A25F1C"/>
    <w:rsid w:val="00A3236F"/>
    <w:rsid w:val="00A32CC3"/>
    <w:rsid w:val="00A32EC7"/>
    <w:rsid w:val="00A34545"/>
    <w:rsid w:val="00A34824"/>
    <w:rsid w:val="00A35EB1"/>
    <w:rsid w:val="00A41FBC"/>
    <w:rsid w:val="00A42826"/>
    <w:rsid w:val="00A43C77"/>
    <w:rsid w:val="00A4594A"/>
    <w:rsid w:val="00A45DE7"/>
    <w:rsid w:val="00A47ED8"/>
    <w:rsid w:val="00A5063D"/>
    <w:rsid w:val="00A5158F"/>
    <w:rsid w:val="00A51F16"/>
    <w:rsid w:val="00A52FF0"/>
    <w:rsid w:val="00A54B58"/>
    <w:rsid w:val="00A55527"/>
    <w:rsid w:val="00A55CB9"/>
    <w:rsid w:val="00A57480"/>
    <w:rsid w:val="00A61C05"/>
    <w:rsid w:val="00A61E98"/>
    <w:rsid w:val="00A62A68"/>
    <w:rsid w:val="00A63494"/>
    <w:rsid w:val="00A63C68"/>
    <w:rsid w:val="00A65934"/>
    <w:rsid w:val="00A65E54"/>
    <w:rsid w:val="00A6649C"/>
    <w:rsid w:val="00A7087B"/>
    <w:rsid w:val="00A7164C"/>
    <w:rsid w:val="00A7164F"/>
    <w:rsid w:val="00A71996"/>
    <w:rsid w:val="00A721E8"/>
    <w:rsid w:val="00A727B0"/>
    <w:rsid w:val="00A74F40"/>
    <w:rsid w:val="00A76FD5"/>
    <w:rsid w:val="00A77288"/>
    <w:rsid w:val="00A80CAC"/>
    <w:rsid w:val="00A80D15"/>
    <w:rsid w:val="00A81431"/>
    <w:rsid w:val="00A82E9F"/>
    <w:rsid w:val="00A83B27"/>
    <w:rsid w:val="00A841F5"/>
    <w:rsid w:val="00A849CF"/>
    <w:rsid w:val="00A90C5E"/>
    <w:rsid w:val="00A91CC0"/>
    <w:rsid w:val="00A92A41"/>
    <w:rsid w:val="00A93CD6"/>
    <w:rsid w:val="00A94635"/>
    <w:rsid w:val="00A95D6C"/>
    <w:rsid w:val="00A9705B"/>
    <w:rsid w:val="00A97FDC"/>
    <w:rsid w:val="00AA00E8"/>
    <w:rsid w:val="00AA0980"/>
    <w:rsid w:val="00AA0D77"/>
    <w:rsid w:val="00AA2986"/>
    <w:rsid w:val="00AA2A5A"/>
    <w:rsid w:val="00AA3DC9"/>
    <w:rsid w:val="00AA40D3"/>
    <w:rsid w:val="00AA4AAF"/>
    <w:rsid w:val="00AA4BB8"/>
    <w:rsid w:val="00AA5135"/>
    <w:rsid w:val="00AA6EDB"/>
    <w:rsid w:val="00AB0604"/>
    <w:rsid w:val="00AB0C55"/>
    <w:rsid w:val="00AB10FF"/>
    <w:rsid w:val="00AB118B"/>
    <w:rsid w:val="00AB2696"/>
    <w:rsid w:val="00AB3D66"/>
    <w:rsid w:val="00AB58DA"/>
    <w:rsid w:val="00AB60D8"/>
    <w:rsid w:val="00AB6FE8"/>
    <w:rsid w:val="00AB76C9"/>
    <w:rsid w:val="00AB7E0B"/>
    <w:rsid w:val="00AC0BCD"/>
    <w:rsid w:val="00AC0F76"/>
    <w:rsid w:val="00AC23F8"/>
    <w:rsid w:val="00AC32CB"/>
    <w:rsid w:val="00AC4EB9"/>
    <w:rsid w:val="00AC5783"/>
    <w:rsid w:val="00AC6D1F"/>
    <w:rsid w:val="00AD0486"/>
    <w:rsid w:val="00AD05DD"/>
    <w:rsid w:val="00AD1152"/>
    <w:rsid w:val="00AD1FE6"/>
    <w:rsid w:val="00AD45CA"/>
    <w:rsid w:val="00AD5050"/>
    <w:rsid w:val="00AD5745"/>
    <w:rsid w:val="00AD6D36"/>
    <w:rsid w:val="00AE335E"/>
    <w:rsid w:val="00AE4A30"/>
    <w:rsid w:val="00AE5595"/>
    <w:rsid w:val="00AE6E51"/>
    <w:rsid w:val="00AE76EA"/>
    <w:rsid w:val="00AF17F3"/>
    <w:rsid w:val="00AF1F67"/>
    <w:rsid w:val="00AF2EF4"/>
    <w:rsid w:val="00AF3F52"/>
    <w:rsid w:val="00AF7FE2"/>
    <w:rsid w:val="00B01357"/>
    <w:rsid w:val="00B03462"/>
    <w:rsid w:val="00B04754"/>
    <w:rsid w:val="00B0552B"/>
    <w:rsid w:val="00B058B9"/>
    <w:rsid w:val="00B059A2"/>
    <w:rsid w:val="00B062C0"/>
    <w:rsid w:val="00B100EA"/>
    <w:rsid w:val="00B10BB7"/>
    <w:rsid w:val="00B10D40"/>
    <w:rsid w:val="00B11152"/>
    <w:rsid w:val="00B12B39"/>
    <w:rsid w:val="00B13A02"/>
    <w:rsid w:val="00B154B0"/>
    <w:rsid w:val="00B2028C"/>
    <w:rsid w:val="00B208EA"/>
    <w:rsid w:val="00B21A74"/>
    <w:rsid w:val="00B23B51"/>
    <w:rsid w:val="00B25E0F"/>
    <w:rsid w:val="00B26F9B"/>
    <w:rsid w:val="00B27320"/>
    <w:rsid w:val="00B27C98"/>
    <w:rsid w:val="00B3154E"/>
    <w:rsid w:val="00B31977"/>
    <w:rsid w:val="00B33A5F"/>
    <w:rsid w:val="00B33BB9"/>
    <w:rsid w:val="00B37CEB"/>
    <w:rsid w:val="00B37E80"/>
    <w:rsid w:val="00B4265C"/>
    <w:rsid w:val="00B42D92"/>
    <w:rsid w:val="00B43756"/>
    <w:rsid w:val="00B459A5"/>
    <w:rsid w:val="00B45B5C"/>
    <w:rsid w:val="00B4655A"/>
    <w:rsid w:val="00B46A85"/>
    <w:rsid w:val="00B46C25"/>
    <w:rsid w:val="00B46DC1"/>
    <w:rsid w:val="00B46F57"/>
    <w:rsid w:val="00B47D7C"/>
    <w:rsid w:val="00B50AC8"/>
    <w:rsid w:val="00B50B63"/>
    <w:rsid w:val="00B51B40"/>
    <w:rsid w:val="00B53B2F"/>
    <w:rsid w:val="00B54772"/>
    <w:rsid w:val="00B5504F"/>
    <w:rsid w:val="00B56911"/>
    <w:rsid w:val="00B5721C"/>
    <w:rsid w:val="00B5743B"/>
    <w:rsid w:val="00B62178"/>
    <w:rsid w:val="00B6241F"/>
    <w:rsid w:val="00B665B2"/>
    <w:rsid w:val="00B6714D"/>
    <w:rsid w:val="00B67512"/>
    <w:rsid w:val="00B70566"/>
    <w:rsid w:val="00B70EAD"/>
    <w:rsid w:val="00B730F2"/>
    <w:rsid w:val="00B73958"/>
    <w:rsid w:val="00B74757"/>
    <w:rsid w:val="00B74BA4"/>
    <w:rsid w:val="00B76C1D"/>
    <w:rsid w:val="00B77E39"/>
    <w:rsid w:val="00B80E54"/>
    <w:rsid w:val="00B810F1"/>
    <w:rsid w:val="00B81DBE"/>
    <w:rsid w:val="00B82225"/>
    <w:rsid w:val="00B82516"/>
    <w:rsid w:val="00B8334D"/>
    <w:rsid w:val="00B83814"/>
    <w:rsid w:val="00B85518"/>
    <w:rsid w:val="00B85A42"/>
    <w:rsid w:val="00B87D0C"/>
    <w:rsid w:val="00B90434"/>
    <w:rsid w:val="00B91FB5"/>
    <w:rsid w:val="00B94865"/>
    <w:rsid w:val="00B94E54"/>
    <w:rsid w:val="00B9642A"/>
    <w:rsid w:val="00B97107"/>
    <w:rsid w:val="00B9735A"/>
    <w:rsid w:val="00B97A49"/>
    <w:rsid w:val="00BA3990"/>
    <w:rsid w:val="00BB17D0"/>
    <w:rsid w:val="00BB2012"/>
    <w:rsid w:val="00BB2895"/>
    <w:rsid w:val="00BB439E"/>
    <w:rsid w:val="00BB5271"/>
    <w:rsid w:val="00BB69F2"/>
    <w:rsid w:val="00BB70D0"/>
    <w:rsid w:val="00BB75F8"/>
    <w:rsid w:val="00BC5263"/>
    <w:rsid w:val="00BC5670"/>
    <w:rsid w:val="00BC62D8"/>
    <w:rsid w:val="00BC73D7"/>
    <w:rsid w:val="00BD1349"/>
    <w:rsid w:val="00BD1C77"/>
    <w:rsid w:val="00BD2C41"/>
    <w:rsid w:val="00BD54A5"/>
    <w:rsid w:val="00BE06EE"/>
    <w:rsid w:val="00BE0725"/>
    <w:rsid w:val="00BE162A"/>
    <w:rsid w:val="00BE1EDB"/>
    <w:rsid w:val="00BE1FDF"/>
    <w:rsid w:val="00BE2513"/>
    <w:rsid w:val="00BE264A"/>
    <w:rsid w:val="00BE2E54"/>
    <w:rsid w:val="00BE3218"/>
    <w:rsid w:val="00BE3C0C"/>
    <w:rsid w:val="00BE6150"/>
    <w:rsid w:val="00BE72CC"/>
    <w:rsid w:val="00BF0BD3"/>
    <w:rsid w:val="00BF3700"/>
    <w:rsid w:val="00C01E90"/>
    <w:rsid w:val="00C025E6"/>
    <w:rsid w:val="00C056A3"/>
    <w:rsid w:val="00C07149"/>
    <w:rsid w:val="00C078F6"/>
    <w:rsid w:val="00C10C9C"/>
    <w:rsid w:val="00C10E3D"/>
    <w:rsid w:val="00C10EF5"/>
    <w:rsid w:val="00C14C70"/>
    <w:rsid w:val="00C14CC7"/>
    <w:rsid w:val="00C14ED7"/>
    <w:rsid w:val="00C152FF"/>
    <w:rsid w:val="00C156FD"/>
    <w:rsid w:val="00C15CD5"/>
    <w:rsid w:val="00C17DF2"/>
    <w:rsid w:val="00C20A09"/>
    <w:rsid w:val="00C21176"/>
    <w:rsid w:val="00C215EE"/>
    <w:rsid w:val="00C25032"/>
    <w:rsid w:val="00C25ABF"/>
    <w:rsid w:val="00C25FF6"/>
    <w:rsid w:val="00C260DA"/>
    <w:rsid w:val="00C26ACA"/>
    <w:rsid w:val="00C32E3A"/>
    <w:rsid w:val="00C336DD"/>
    <w:rsid w:val="00C3418C"/>
    <w:rsid w:val="00C3631B"/>
    <w:rsid w:val="00C36729"/>
    <w:rsid w:val="00C36817"/>
    <w:rsid w:val="00C368D3"/>
    <w:rsid w:val="00C3699D"/>
    <w:rsid w:val="00C36F90"/>
    <w:rsid w:val="00C3728C"/>
    <w:rsid w:val="00C403DD"/>
    <w:rsid w:val="00C42E7D"/>
    <w:rsid w:val="00C43483"/>
    <w:rsid w:val="00C4526D"/>
    <w:rsid w:val="00C4542D"/>
    <w:rsid w:val="00C46C54"/>
    <w:rsid w:val="00C47EAB"/>
    <w:rsid w:val="00C51AF6"/>
    <w:rsid w:val="00C52DFF"/>
    <w:rsid w:val="00C536C9"/>
    <w:rsid w:val="00C5379E"/>
    <w:rsid w:val="00C54639"/>
    <w:rsid w:val="00C54C20"/>
    <w:rsid w:val="00C5540E"/>
    <w:rsid w:val="00C559D4"/>
    <w:rsid w:val="00C61753"/>
    <w:rsid w:val="00C6237A"/>
    <w:rsid w:val="00C62CA1"/>
    <w:rsid w:val="00C645CC"/>
    <w:rsid w:val="00C6532E"/>
    <w:rsid w:val="00C65BA9"/>
    <w:rsid w:val="00C65C2C"/>
    <w:rsid w:val="00C66B78"/>
    <w:rsid w:val="00C70610"/>
    <w:rsid w:val="00C730F8"/>
    <w:rsid w:val="00C742FA"/>
    <w:rsid w:val="00C75C67"/>
    <w:rsid w:val="00C76B4A"/>
    <w:rsid w:val="00C82346"/>
    <w:rsid w:val="00C83C94"/>
    <w:rsid w:val="00C8446B"/>
    <w:rsid w:val="00C84E7D"/>
    <w:rsid w:val="00C93DCB"/>
    <w:rsid w:val="00C9449E"/>
    <w:rsid w:val="00C945CF"/>
    <w:rsid w:val="00C94DF7"/>
    <w:rsid w:val="00C963D3"/>
    <w:rsid w:val="00C964A1"/>
    <w:rsid w:val="00C97EC6"/>
    <w:rsid w:val="00CA1715"/>
    <w:rsid w:val="00CA19C8"/>
    <w:rsid w:val="00CA1A69"/>
    <w:rsid w:val="00CA2314"/>
    <w:rsid w:val="00CA27C6"/>
    <w:rsid w:val="00CA322E"/>
    <w:rsid w:val="00CA3A78"/>
    <w:rsid w:val="00CA6852"/>
    <w:rsid w:val="00CA6F62"/>
    <w:rsid w:val="00CA745E"/>
    <w:rsid w:val="00CB006F"/>
    <w:rsid w:val="00CB123D"/>
    <w:rsid w:val="00CB13EE"/>
    <w:rsid w:val="00CB73AC"/>
    <w:rsid w:val="00CC2313"/>
    <w:rsid w:val="00CC5127"/>
    <w:rsid w:val="00CC51D2"/>
    <w:rsid w:val="00CC5841"/>
    <w:rsid w:val="00CC658C"/>
    <w:rsid w:val="00CC6D5E"/>
    <w:rsid w:val="00CC79FA"/>
    <w:rsid w:val="00CD0597"/>
    <w:rsid w:val="00CD08C8"/>
    <w:rsid w:val="00CD0977"/>
    <w:rsid w:val="00CD14B0"/>
    <w:rsid w:val="00CD4E78"/>
    <w:rsid w:val="00CD586C"/>
    <w:rsid w:val="00CE0A43"/>
    <w:rsid w:val="00CE0DAA"/>
    <w:rsid w:val="00CE1BB9"/>
    <w:rsid w:val="00CE1E2E"/>
    <w:rsid w:val="00CE3B97"/>
    <w:rsid w:val="00CE44AA"/>
    <w:rsid w:val="00CE4860"/>
    <w:rsid w:val="00CE642E"/>
    <w:rsid w:val="00CE73AD"/>
    <w:rsid w:val="00CE7FFD"/>
    <w:rsid w:val="00CF30E5"/>
    <w:rsid w:val="00CF6D33"/>
    <w:rsid w:val="00CF6D68"/>
    <w:rsid w:val="00D01511"/>
    <w:rsid w:val="00D015A6"/>
    <w:rsid w:val="00D01F47"/>
    <w:rsid w:val="00D02768"/>
    <w:rsid w:val="00D02D42"/>
    <w:rsid w:val="00D0437A"/>
    <w:rsid w:val="00D07A2C"/>
    <w:rsid w:val="00D1049C"/>
    <w:rsid w:val="00D11445"/>
    <w:rsid w:val="00D12186"/>
    <w:rsid w:val="00D12BA8"/>
    <w:rsid w:val="00D1479D"/>
    <w:rsid w:val="00D15B2C"/>
    <w:rsid w:val="00D16D2C"/>
    <w:rsid w:val="00D17B73"/>
    <w:rsid w:val="00D205A4"/>
    <w:rsid w:val="00D20ECC"/>
    <w:rsid w:val="00D22157"/>
    <w:rsid w:val="00D2320C"/>
    <w:rsid w:val="00D239C1"/>
    <w:rsid w:val="00D24151"/>
    <w:rsid w:val="00D25077"/>
    <w:rsid w:val="00D27306"/>
    <w:rsid w:val="00D27A61"/>
    <w:rsid w:val="00D30E69"/>
    <w:rsid w:val="00D32167"/>
    <w:rsid w:val="00D32802"/>
    <w:rsid w:val="00D32C94"/>
    <w:rsid w:val="00D3448C"/>
    <w:rsid w:val="00D34542"/>
    <w:rsid w:val="00D34BBD"/>
    <w:rsid w:val="00D37C1A"/>
    <w:rsid w:val="00D408AA"/>
    <w:rsid w:val="00D41647"/>
    <w:rsid w:val="00D4256D"/>
    <w:rsid w:val="00D429D7"/>
    <w:rsid w:val="00D434E5"/>
    <w:rsid w:val="00D444C8"/>
    <w:rsid w:val="00D45FD8"/>
    <w:rsid w:val="00D462C5"/>
    <w:rsid w:val="00D4699B"/>
    <w:rsid w:val="00D46B6B"/>
    <w:rsid w:val="00D51077"/>
    <w:rsid w:val="00D51849"/>
    <w:rsid w:val="00D518C4"/>
    <w:rsid w:val="00D51BAD"/>
    <w:rsid w:val="00D52D44"/>
    <w:rsid w:val="00D5318A"/>
    <w:rsid w:val="00D53E16"/>
    <w:rsid w:val="00D55DA3"/>
    <w:rsid w:val="00D5606E"/>
    <w:rsid w:val="00D56169"/>
    <w:rsid w:val="00D56C1E"/>
    <w:rsid w:val="00D57F38"/>
    <w:rsid w:val="00D605B6"/>
    <w:rsid w:val="00D61904"/>
    <w:rsid w:val="00D63318"/>
    <w:rsid w:val="00D64577"/>
    <w:rsid w:val="00D646EC"/>
    <w:rsid w:val="00D64D55"/>
    <w:rsid w:val="00D65488"/>
    <w:rsid w:val="00D654B6"/>
    <w:rsid w:val="00D668C4"/>
    <w:rsid w:val="00D676B0"/>
    <w:rsid w:val="00D67C1C"/>
    <w:rsid w:val="00D7030F"/>
    <w:rsid w:val="00D71A53"/>
    <w:rsid w:val="00D71FB5"/>
    <w:rsid w:val="00D72496"/>
    <w:rsid w:val="00D72A30"/>
    <w:rsid w:val="00D732C9"/>
    <w:rsid w:val="00D73ACE"/>
    <w:rsid w:val="00D74690"/>
    <w:rsid w:val="00D769AE"/>
    <w:rsid w:val="00D77B97"/>
    <w:rsid w:val="00D8015E"/>
    <w:rsid w:val="00D80698"/>
    <w:rsid w:val="00D824D2"/>
    <w:rsid w:val="00D835D7"/>
    <w:rsid w:val="00D83D7D"/>
    <w:rsid w:val="00D83EB7"/>
    <w:rsid w:val="00D84719"/>
    <w:rsid w:val="00D8494B"/>
    <w:rsid w:val="00D85C04"/>
    <w:rsid w:val="00D86782"/>
    <w:rsid w:val="00D9141B"/>
    <w:rsid w:val="00D91C95"/>
    <w:rsid w:val="00D92A8D"/>
    <w:rsid w:val="00D92F6E"/>
    <w:rsid w:val="00D94095"/>
    <w:rsid w:val="00D94E97"/>
    <w:rsid w:val="00D96B7E"/>
    <w:rsid w:val="00D96EA3"/>
    <w:rsid w:val="00D97157"/>
    <w:rsid w:val="00D9742A"/>
    <w:rsid w:val="00D9768B"/>
    <w:rsid w:val="00DA036C"/>
    <w:rsid w:val="00DA0563"/>
    <w:rsid w:val="00DA0E6E"/>
    <w:rsid w:val="00DA248E"/>
    <w:rsid w:val="00DA2A11"/>
    <w:rsid w:val="00DA2EE4"/>
    <w:rsid w:val="00DA5DF0"/>
    <w:rsid w:val="00DA6159"/>
    <w:rsid w:val="00DA6846"/>
    <w:rsid w:val="00DA7C4C"/>
    <w:rsid w:val="00DA7F5A"/>
    <w:rsid w:val="00DB0B21"/>
    <w:rsid w:val="00DB1BB7"/>
    <w:rsid w:val="00DB3405"/>
    <w:rsid w:val="00DB3C88"/>
    <w:rsid w:val="00DB4DB6"/>
    <w:rsid w:val="00DB69FB"/>
    <w:rsid w:val="00DC1E52"/>
    <w:rsid w:val="00DC3D00"/>
    <w:rsid w:val="00DC580E"/>
    <w:rsid w:val="00DD16A8"/>
    <w:rsid w:val="00DD1C73"/>
    <w:rsid w:val="00DD222D"/>
    <w:rsid w:val="00DD3187"/>
    <w:rsid w:val="00DD452F"/>
    <w:rsid w:val="00DD6877"/>
    <w:rsid w:val="00DE0D70"/>
    <w:rsid w:val="00DE318C"/>
    <w:rsid w:val="00DE36D2"/>
    <w:rsid w:val="00DE5357"/>
    <w:rsid w:val="00DE6D1D"/>
    <w:rsid w:val="00DE7469"/>
    <w:rsid w:val="00DF0A17"/>
    <w:rsid w:val="00DF383E"/>
    <w:rsid w:val="00DF4341"/>
    <w:rsid w:val="00DF5665"/>
    <w:rsid w:val="00DF7BA5"/>
    <w:rsid w:val="00E01C2B"/>
    <w:rsid w:val="00E02657"/>
    <w:rsid w:val="00E037D0"/>
    <w:rsid w:val="00E044CF"/>
    <w:rsid w:val="00E05224"/>
    <w:rsid w:val="00E05519"/>
    <w:rsid w:val="00E06C9B"/>
    <w:rsid w:val="00E06EB1"/>
    <w:rsid w:val="00E078D1"/>
    <w:rsid w:val="00E132AA"/>
    <w:rsid w:val="00E2035A"/>
    <w:rsid w:val="00E211B2"/>
    <w:rsid w:val="00E231AA"/>
    <w:rsid w:val="00E26805"/>
    <w:rsid w:val="00E26CE5"/>
    <w:rsid w:val="00E26D55"/>
    <w:rsid w:val="00E3030F"/>
    <w:rsid w:val="00E31600"/>
    <w:rsid w:val="00E334AD"/>
    <w:rsid w:val="00E3488D"/>
    <w:rsid w:val="00E367AF"/>
    <w:rsid w:val="00E36A64"/>
    <w:rsid w:val="00E42F8B"/>
    <w:rsid w:val="00E43A80"/>
    <w:rsid w:val="00E45A27"/>
    <w:rsid w:val="00E46068"/>
    <w:rsid w:val="00E4741C"/>
    <w:rsid w:val="00E47E9C"/>
    <w:rsid w:val="00E50440"/>
    <w:rsid w:val="00E53464"/>
    <w:rsid w:val="00E55403"/>
    <w:rsid w:val="00E55860"/>
    <w:rsid w:val="00E642BA"/>
    <w:rsid w:val="00E672F8"/>
    <w:rsid w:val="00E67B3B"/>
    <w:rsid w:val="00E701FD"/>
    <w:rsid w:val="00E72748"/>
    <w:rsid w:val="00E747CE"/>
    <w:rsid w:val="00E74D3E"/>
    <w:rsid w:val="00E76A7A"/>
    <w:rsid w:val="00E7736E"/>
    <w:rsid w:val="00E776B9"/>
    <w:rsid w:val="00E80001"/>
    <w:rsid w:val="00E82FE3"/>
    <w:rsid w:val="00E844E1"/>
    <w:rsid w:val="00E849F9"/>
    <w:rsid w:val="00E84CD2"/>
    <w:rsid w:val="00E85D51"/>
    <w:rsid w:val="00E869D7"/>
    <w:rsid w:val="00E86BF8"/>
    <w:rsid w:val="00E86CC9"/>
    <w:rsid w:val="00E86D15"/>
    <w:rsid w:val="00E911B7"/>
    <w:rsid w:val="00E92DE2"/>
    <w:rsid w:val="00E951EE"/>
    <w:rsid w:val="00E95244"/>
    <w:rsid w:val="00E9616C"/>
    <w:rsid w:val="00E96225"/>
    <w:rsid w:val="00E964FE"/>
    <w:rsid w:val="00E97A3E"/>
    <w:rsid w:val="00EA0289"/>
    <w:rsid w:val="00EA028A"/>
    <w:rsid w:val="00EA084D"/>
    <w:rsid w:val="00EA11B9"/>
    <w:rsid w:val="00EA35CF"/>
    <w:rsid w:val="00EA41E2"/>
    <w:rsid w:val="00EA47D7"/>
    <w:rsid w:val="00EA5D3C"/>
    <w:rsid w:val="00EB1790"/>
    <w:rsid w:val="00EB4FA1"/>
    <w:rsid w:val="00EC1A6E"/>
    <w:rsid w:val="00EC1A8D"/>
    <w:rsid w:val="00EC2D17"/>
    <w:rsid w:val="00EC3553"/>
    <w:rsid w:val="00EC3C34"/>
    <w:rsid w:val="00EC3CA6"/>
    <w:rsid w:val="00EC3E71"/>
    <w:rsid w:val="00EC4296"/>
    <w:rsid w:val="00EC44A0"/>
    <w:rsid w:val="00EC5708"/>
    <w:rsid w:val="00EC7E21"/>
    <w:rsid w:val="00ED1615"/>
    <w:rsid w:val="00ED1B1A"/>
    <w:rsid w:val="00ED27AB"/>
    <w:rsid w:val="00ED51A0"/>
    <w:rsid w:val="00ED57DE"/>
    <w:rsid w:val="00ED6702"/>
    <w:rsid w:val="00EE13EF"/>
    <w:rsid w:val="00EE1C12"/>
    <w:rsid w:val="00EE2A2B"/>
    <w:rsid w:val="00EE2EFD"/>
    <w:rsid w:val="00EE4ABC"/>
    <w:rsid w:val="00EE7517"/>
    <w:rsid w:val="00EE77F0"/>
    <w:rsid w:val="00EF1945"/>
    <w:rsid w:val="00EF2A1B"/>
    <w:rsid w:val="00EF33A3"/>
    <w:rsid w:val="00EF48A4"/>
    <w:rsid w:val="00EF5626"/>
    <w:rsid w:val="00EF5638"/>
    <w:rsid w:val="00EF678F"/>
    <w:rsid w:val="00F01805"/>
    <w:rsid w:val="00F01F07"/>
    <w:rsid w:val="00F0324F"/>
    <w:rsid w:val="00F044A3"/>
    <w:rsid w:val="00F06AEB"/>
    <w:rsid w:val="00F0740D"/>
    <w:rsid w:val="00F07F1F"/>
    <w:rsid w:val="00F10F85"/>
    <w:rsid w:val="00F113C9"/>
    <w:rsid w:val="00F124CC"/>
    <w:rsid w:val="00F12A94"/>
    <w:rsid w:val="00F1316A"/>
    <w:rsid w:val="00F13B7F"/>
    <w:rsid w:val="00F14280"/>
    <w:rsid w:val="00F1500C"/>
    <w:rsid w:val="00F163F7"/>
    <w:rsid w:val="00F16939"/>
    <w:rsid w:val="00F16B61"/>
    <w:rsid w:val="00F176A6"/>
    <w:rsid w:val="00F238BD"/>
    <w:rsid w:val="00F31651"/>
    <w:rsid w:val="00F31C4C"/>
    <w:rsid w:val="00F33511"/>
    <w:rsid w:val="00F348EC"/>
    <w:rsid w:val="00F349C0"/>
    <w:rsid w:val="00F35309"/>
    <w:rsid w:val="00F35B42"/>
    <w:rsid w:val="00F401FA"/>
    <w:rsid w:val="00F42862"/>
    <w:rsid w:val="00F42D09"/>
    <w:rsid w:val="00F43762"/>
    <w:rsid w:val="00F44406"/>
    <w:rsid w:val="00F4521D"/>
    <w:rsid w:val="00F45CD9"/>
    <w:rsid w:val="00F46BEC"/>
    <w:rsid w:val="00F50710"/>
    <w:rsid w:val="00F50D37"/>
    <w:rsid w:val="00F52EC7"/>
    <w:rsid w:val="00F53391"/>
    <w:rsid w:val="00F543ED"/>
    <w:rsid w:val="00F54C13"/>
    <w:rsid w:val="00F552EA"/>
    <w:rsid w:val="00F605B4"/>
    <w:rsid w:val="00F61193"/>
    <w:rsid w:val="00F6156A"/>
    <w:rsid w:val="00F62746"/>
    <w:rsid w:val="00F62B53"/>
    <w:rsid w:val="00F65329"/>
    <w:rsid w:val="00F70678"/>
    <w:rsid w:val="00F71633"/>
    <w:rsid w:val="00F71E5F"/>
    <w:rsid w:val="00F727BF"/>
    <w:rsid w:val="00F75AED"/>
    <w:rsid w:val="00F772EF"/>
    <w:rsid w:val="00F77D63"/>
    <w:rsid w:val="00F77EA0"/>
    <w:rsid w:val="00F77F73"/>
    <w:rsid w:val="00F808AD"/>
    <w:rsid w:val="00F80915"/>
    <w:rsid w:val="00F813B2"/>
    <w:rsid w:val="00F818A9"/>
    <w:rsid w:val="00F82A3A"/>
    <w:rsid w:val="00F833C4"/>
    <w:rsid w:val="00F83D12"/>
    <w:rsid w:val="00F83F74"/>
    <w:rsid w:val="00F85BC7"/>
    <w:rsid w:val="00F90726"/>
    <w:rsid w:val="00F9222E"/>
    <w:rsid w:val="00F92382"/>
    <w:rsid w:val="00F92666"/>
    <w:rsid w:val="00F96BE3"/>
    <w:rsid w:val="00F96E4F"/>
    <w:rsid w:val="00FA309F"/>
    <w:rsid w:val="00FA3645"/>
    <w:rsid w:val="00FA453E"/>
    <w:rsid w:val="00FA4886"/>
    <w:rsid w:val="00FA4CF3"/>
    <w:rsid w:val="00FA51C5"/>
    <w:rsid w:val="00FA5FDC"/>
    <w:rsid w:val="00FA6AAE"/>
    <w:rsid w:val="00FB25D0"/>
    <w:rsid w:val="00FB2BE4"/>
    <w:rsid w:val="00FB3F08"/>
    <w:rsid w:val="00FB41C8"/>
    <w:rsid w:val="00FB5536"/>
    <w:rsid w:val="00FB7223"/>
    <w:rsid w:val="00FB7E88"/>
    <w:rsid w:val="00FC08C0"/>
    <w:rsid w:val="00FC2EFB"/>
    <w:rsid w:val="00FC3D16"/>
    <w:rsid w:val="00FC3E0F"/>
    <w:rsid w:val="00FC55B1"/>
    <w:rsid w:val="00FC6D80"/>
    <w:rsid w:val="00FC7185"/>
    <w:rsid w:val="00FD4880"/>
    <w:rsid w:val="00FD5E79"/>
    <w:rsid w:val="00FE10D1"/>
    <w:rsid w:val="00FE180F"/>
    <w:rsid w:val="00FE198D"/>
    <w:rsid w:val="00FE2654"/>
    <w:rsid w:val="00FE4189"/>
    <w:rsid w:val="00FE4D5F"/>
    <w:rsid w:val="00FE5CFC"/>
    <w:rsid w:val="00FE60FF"/>
    <w:rsid w:val="00FE6DDC"/>
    <w:rsid w:val="00FE77F8"/>
    <w:rsid w:val="00FF02A0"/>
    <w:rsid w:val="00FF117D"/>
    <w:rsid w:val="00FF1846"/>
    <w:rsid w:val="00FF1F5A"/>
    <w:rsid w:val="00FF2B65"/>
    <w:rsid w:val="00FF2C70"/>
    <w:rsid w:val="00FF3746"/>
    <w:rsid w:val="00FF3F1B"/>
    <w:rsid w:val="00FF429A"/>
    <w:rsid w:val="00FF55B4"/>
    <w:rsid w:val="00FF614A"/>
    <w:rsid w:val="00FF72D5"/>
    <w:rsid w:val="00FF72E7"/>
    <w:rsid w:val="00FF76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E6A1099"/>
  <w15:chartTrackingRefBased/>
  <w15:docId w15:val="{DCB370CF-25E9-4545-A2F7-7A9793DF1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FC3D16"/>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rsid w:val="00FC3D16"/>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rsid w:val="00FC3D16"/>
    <w:pPr>
      <w:keepNext/>
      <w:keepLines/>
      <w:spacing w:before="260" w:after="260" w:line="416" w:lineRule="auto"/>
      <w:outlineLvl w:val="2"/>
    </w:pPr>
    <w:rPr>
      <w:b/>
      <w:bCs/>
      <w:sz w:val="32"/>
      <w:szCs w:val="32"/>
    </w:rPr>
  </w:style>
  <w:style w:type="paragraph" w:styleId="4">
    <w:name w:val="heading 4"/>
    <w:basedOn w:val="a"/>
    <w:next w:val="a"/>
    <w:link w:val="40"/>
    <w:uiPriority w:val="9"/>
    <w:unhideWhenUsed/>
    <w:qFormat/>
    <w:rsid w:val="00FF55B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7279E9"/>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7279E9"/>
    <w:rPr>
      <w:sz w:val="18"/>
      <w:szCs w:val="18"/>
    </w:rPr>
  </w:style>
  <w:style w:type="paragraph" w:styleId="a5">
    <w:name w:val="footer"/>
    <w:basedOn w:val="a"/>
    <w:link w:val="a6"/>
    <w:uiPriority w:val="99"/>
    <w:unhideWhenUsed/>
    <w:rsid w:val="007279E9"/>
    <w:pPr>
      <w:tabs>
        <w:tab w:val="center" w:pos="4153"/>
        <w:tab w:val="right" w:pos="8306"/>
      </w:tabs>
      <w:snapToGrid w:val="0"/>
      <w:jc w:val="left"/>
    </w:pPr>
    <w:rPr>
      <w:sz w:val="18"/>
      <w:szCs w:val="18"/>
    </w:rPr>
  </w:style>
  <w:style w:type="character" w:customStyle="1" w:styleId="a6">
    <w:name w:val="页脚 字符"/>
    <w:basedOn w:val="a0"/>
    <w:link w:val="a5"/>
    <w:uiPriority w:val="99"/>
    <w:rsid w:val="007279E9"/>
    <w:rPr>
      <w:sz w:val="18"/>
      <w:szCs w:val="18"/>
    </w:rPr>
  </w:style>
  <w:style w:type="character" w:customStyle="1" w:styleId="10">
    <w:name w:val="标题 1 字符"/>
    <w:basedOn w:val="a0"/>
    <w:link w:val="1"/>
    <w:uiPriority w:val="9"/>
    <w:rsid w:val="00FC3D16"/>
    <w:rPr>
      <w:b/>
      <w:bCs/>
      <w:kern w:val="44"/>
      <w:sz w:val="44"/>
      <w:szCs w:val="44"/>
    </w:rPr>
  </w:style>
  <w:style w:type="character" w:customStyle="1" w:styleId="20">
    <w:name w:val="标题 2 字符"/>
    <w:basedOn w:val="a0"/>
    <w:link w:val="2"/>
    <w:uiPriority w:val="9"/>
    <w:rsid w:val="00FC3D16"/>
    <w:rPr>
      <w:rFonts w:asciiTheme="majorHAnsi" w:eastAsiaTheme="majorEastAsia" w:hAnsiTheme="majorHAnsi" w:cstheme="majorBidi"/>
      <w:b/>
      <w:bCs/>
      <w:sz w:val="32"/>
      <w:szCs w:val="32"/>
    </w:rPr>
  </w:style>
  <w:style w:type="character" w:customStyle="1" w:styleId="30">
    <w:name w:val="标题 3 字符"/>
    <w:basedOn w:val="a0"/>
    <w:link w:val="3"/>
    <w:uiPriority w:val="9"/>
    <w:rsid w:val="00FC3D16"/>
    <w:rPr>
      <w:b/>
      <w:bCs/>
      <w:sz w:val="32"/>
      <w:szCs w:val="32"/>
    </w:rPr>
  </w:style>
  <w:style w:type="paragraph" w:styleId="a7">
    <w:name w:val="No Spacing"/>
    <w:uiPriority w:val="1"/>
    <w:qFormat/>
    <w:rsid w:val="00A9705B"/>
    <w:pPr>
      <w:widowControl w:val="0"/>
      <w:jc w:val="both"/>
    </w:pPr>
  </w:style>
  <w:style w:type="character" w:customStyle="1" w:styleId="40">
    <w:name w:val="标题 4 字符"/>
    <w:basedOn w:val="a0"/>
    <w:link w:val="4"/>
    <w:uiPriority w:val="9"/>
    <w:rsid w:val="00FF55B4"/>
    <w:rPr>
      <w:rFonts w:asciiTheme="majorHAnsi" w:eastAsiaTheme="majorEastAsia" w:hAnsiTheme="majorHAnsi" w:cstheme="majorBidi"/>
      <w:b/>
      <w:bCs/>
      <w:sz w:val="28"/>
      <w:szCs w:val="28"/>
    </w:rPr>
  </w:style>
  <w:style w:type="paragraph" w:styleId="TOC3">
    <w:name w:val="toc 3"/>
    <w:basedOn w:val="a"/>
    <w:next w:val="a"/>
    <w:autoRedefine/>
    <w:uiPriority w:val="39"/>
    <w:unhideWhenUsed/>
    <w:rsid w:val="00207867"/>
    <w:pPr>
      <w:ind w:leftChars="400" w:left="840"/>
    </w:pPr>
  </w:style>
  <w:style w:type="character" w:styleId="a8">
    <w:name w:val="Hyperlink"/>
    <w:basedOn w:val="a0"/>
    <w:uiPriority w:val="99"/>
    <w:unhideWhenUsed/>
    <w:rsid w:val="00207867"/>
    <w:rPr>
      <w:color w:val="0563C1" w:themeColor="hyperlink"/>
      <w:u w:val="single"/>
    </w:rPr>
  </w:style>
  <w:style w:type="paragraph" w:styleId="TOC2">
    <w:name w:val="toc 2"/>
    <w:basedOn w:val="a"/>
    <w:next w:val="a"/>
    <w:autoRedefine/>
    <w:uiPriority w:val="39"/>
    <w:unhideWhenUsed/>
    <w:rsid w:val="00207867"/>
    <w:pPr>
      <w:ind w:leftChars="200" w:left="420"/>
    </w:pPr>
  </w:style>
  <w:style w:type="paragraph" w:styleId="a9">
    <w:name w:val="Title"/>
    <w:basedOn w:val="a"/>
    <w:next w:val="a"/>
    <w:link w:val="aa"/>
    <w:uiPriority w:val="10"/>
    <w:qFormat/>
    <w:rsid w:val="00207867"/>
    <w:pPr>
      <w:spacing w:before="240" w:after="60"/>
      <w:jc w:val="center"/>
      <w:outlineLvl w:val="0"/>
    </w:pPr>
    <w:rPr>
      <w:rFonts w:asciiTheme="majorHAnsi" w:eastAsiaTheme="majorEastAsia" w:hAnsiTheme="majorHAnsi" w:cstheme="majorBidi"/>
      <w:b/>
      <w:bCs/>
      <w:sz w:val="32"/>
      <w:szCs w:val="32"/>
    </w:rPr>
  </w:style>
  <w:style w:type="character" w:customStyle="1" w:styleId="aa">
    <w:name w:val="标题 字符"/>
    <w:basedOn w:val="a0"/>
    <w:link w:val="a9"/>
    <w:uiPriority w:val="10"/>
    <w:rsid w:val="00207867"/>
    <w:rPr>
      <w:rFonts w:asciiTheme="majorHAnsi" w:eastAsiaTheme="majorEastAsia" w:hAnsiTheme="majorHAnsi" w:cstheme="majorBidi"/>
      <w:b/>
      <w:bCs/>
      <w:sz w:val="32"/>
      <w:szCs w:val="32"/>
    </w:rPr>
  </w:style>
  <w:style w:type="paragraph" w:styleId="TOC1">
    <w:name w:val="toc 1"/>
    <w:basedOn w:val="a"/>
    <w:next w:val="a"/>
    <w:autoRedefine/>
    <w:uiPriority w:val="39"/>
    <w:unhideWhenUsed/>
    <w:rsid w:val="00207867"/>
  </w:style>
  <w:style w:type="paragraph" w:customStyle="1" w:styleId="msonormal0">
    <w:name w:val="msonormal"/>
    <w:basedOn w:val="a"/>
    <w:rsid w:val="0025188D"/>
    <w:pPr>
      <w:widowControl/>
      <w:spacing w:before="100" w:beforeAutospacing="1" w:after="100" w:afterAutospacing="1"/>
      <w:jc w:val="left"/>
    </w:pPr>
    <w:rPr>
      <w:rFonts w:ascii="宋体" w:eastAsia="宋体" w:hAnsi="宋体" w:cs="宋体"/>
      <w:kern w:val="0"/>
      <w:sz w:val="24"/>
      <w:szCs w:val="24"/>
    </w:rPr>
  </w:style>
  <w:style w:type="paragraph" w:styleId="ab">
    <w:name w:val="List Paragraph"/>
    <w:basedOn w:val="a"/>
    <w:uiPriority w:val="99"/>
    <w:rsid w:val="00FC7185"/>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8954606">
      <w:bodyDiv w:val="1"/>
      <w:marLeft w:val="0"/>
      <w:marRight w:val="0"/>
      <w:marTop w:val="0"/>
      <w:marBottom w:val="0"/>
      <w:divBdr>
        <w:top w:val="none" w:sz="0" w:space="0" w:color="auto"/>
        <w:left w:val="none" w:sz="0" w:space="0" w:color="auto"/>
        <w:bottom w:val="none" w:sz="0" w:space="0" w:color="auto"/>
        <w:right w:val="none" w:sz="0" w:space="0" w:color="auto"/>
      </w:divBdr>
    </w:div>
    <w:div w:id="989794241">
      <w:bodyDiv w:val="1"/>
      <w:marLeft w:val="0"/>
      <w:marRight w:val="0"/>
      <w:marTop w:val="0"/>
      <w:marBottom w:val="0"/>
      <w:divBdr>
        <w:top w:val="none" w:sz="0" w:space="0" w:color="auto"/>
        <w:left w:val="none" w:sz="0" w:space="0" w:color="auto"/>
        <w:bottom w:val="none" w:sz="0" w:space="0" w:color="auto"/>
        <w:right w:val="none" w:sz="0" w:space="0" w:color="auto"/>
      </w:divBdr>
    </w:div>
    <w:div w:id="1461462094">
      <w:bodyDiv w:val="1"/>
      <w:marLeft w:val="0"/>
      <w:marRight w:val="0"/>
      <w:marTop w:val="0"/>
      <w:marBottom w:val="0"/>
      <w:divBdr>
        <w:top w:val="none" w:sz="0" w:space="0" w:color="auto"/>
        <w:left w:val="none" w:sz="0" w:space="0" w:color="auto"/>
        <w:bottom w:val="none" w:sz="0" w:space="0" w:color="auto"/>
        <w:right w:val="none" w:sz="0" w:space="0" w:color="auto"/>
      </w:divBdr>
      <w:divsChild>
        <w:div w:id="905411885">
          <w:marLeft w:val="0"/>
          <w:marRight w:val="0"/>
          <w:marTop w:val="0"/>
          <w:marBottom w:val="0"/>
          <w:divBdr>
            <w:top w:val="none" w:sz="0" w:space="0" w:color="auto"/>
            <w:left w:val="none" w:sz="0" w:space="0" w:color="auto"/>
            <w:bottom w:val="none" w:sz="0" w:space="0" w:color="auto"/>
            <w:right w:val="none" w:sz="0" w:space="0" w:color="auto"/>
          </w:divBdr>
          <w:divsChild>
            <w:div w:id="1317109603">
              <w:marLeft w:val="0"/>
              <w:marRight w:val="0"/>
              <w:marTop w:val="0"/>
              <w:marBottom w:val="0"/>
              <w:divBdr>
                <w:top w:val="none" w:sz="0" w:space="0" w:color="auto"/>
                <w:left w:val="none" w:sz="0" w:space="0" w:color="auto"/>
                <w:bottom w:val="none" w:sz="0" w:space="0" w:color="auto"/>
                <w:right w:val="none" w:sz="0" w:space="0" w:color="auto"/>
              </w:divBdr>
              <w:divsChild>
                <w:div w:id="637689698">
                  <w:marLeft w:val="0"/>
                  <w:marRight w:val="0"/>
                  <w:marTop w:val="0"/>
                  <w:marBottom w:val="0"/>
                  <w:divBdr>
                    <w:top w:val="none" w:sz="0" w:space="0" w:color="auto"/>
                    <w:left w:val="none" w:sz="0" w:space="0" w:color="auto"/>
                    <w:bottom w:val="none" w:sz="0" w:space="0" w:color="auto"/>
                    <w:right w:val="none" w:sz="0" w:space="0" w:color="auto"/>
                  </w:divBdr>
                  <w:divsChild>
                    <w:div w:id="1126506319">
                      <w:marLeft w:val="0"/>
                      <w:marRight w:val="0"/>
                      <w:marTop w:val="0"/>
                      <w:marBottom w:val="0"/>
                      <w:divBdr>
                        <w:top w:val="none" w:sz="0" w:space="0" w:color="auto"/>
                        <w:left w:val="none" w:sz="0" w:space="0" w:color="auto"/>
                        <w:bottom w:val="none" w:sz="0" w:space="0" w:color="auto"/>
                        <w:right w:val="none" w:sz="0" w:space="0" w:color="auto"/>
                      </w:divBdr>
                      <w:divsChild>
                        <w:div w:id="174240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0580923">
      <w:bodyDiv w:val="1"/>
      <w:marLeft w:val="0"/>
      <w:marRight w:val="0"/>
      <w:marTop w:val="0"/>
      <w:marBottom w:val="0"/>
      <w:divBdr>
        <w:top w:val="none" w:sz="0" w:space="0" w:color="auto"/>
        <w:left w:val="none" w:sz="0" w:space="0" w:color="auto"/>
        <w:bottom w:val="none" w:sz="0" w:space="0" w:color="auto"/>
        <w:right w:val="none" w:sz="0" w:space="0" w:color="auto"/>
      </w:divBdr>
    </w:div>
    <w:div w:id="1695036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C04F3E-58DF-4D57-8ABA-8FF0129863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1364</TotalTime>
  <Pages>6</Pages>
  <Words>1045</Words>
  <Characters>5960</Characters>
  <Application>Microsoft Office Word</Application>
  <DocSecurity>0</DocSecurity>
  <Lines>49</Lines>
  <Paragraphs>13</Paragraphs>
  <ScaleCrop>false</ScaleCrop>
  <Company/>
  <LinksUpToDate>false</LinksUpToDate>
  <CharactersWithSpaces>6992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凉 拌菜</dc:creator>
  <cp:keywords/>
  <dc:description/>
  <cp:lastModifiedBy>刘东方</cp:lastModifiedBy>
  <cp:revision>1431</cp:revision>
  <cp:lastPrinted>2022-07-04T06:14:00Z</cp:lastPrinted>
  <dcterms:created xsi:type="dcterms:W3CDTF">2021-11-15T07:49:00Z</dcterms:created>
  <dcterms:modified xsi:type="dcterms:W3CDTF">2023-12-05T02:08:00Z</dcterms:modified>
</cp:coreProperties>
</file>